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黄石市“证照分离”改革全覆盖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试点工作实施方案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（讨论稿）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贯彻落实习近平总书记关于深化“放管服”改革、优化营商环境的系列重要论述指示批示精神，以及党中央、国务院和省委、省政府的决策部署，实施《优化营商环境条例》和《湖北省实施优化营商环境条例办法》，进一步破解“准入不准营”难题，有效降低企业制度性交易成本，按照《国务院关于在自由贸易试验区开展“证照分离”改革全覆盖试点的通知》（国发〔2019〕25号）和《湖北省“证照分离”改革全覆盖试点工作实施方案》等文件要求，现就在全市范围内开展“证照分离”改革全覆盖试点工作制定本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    一、总体要求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习近平新时代中国特色社会主义思想为指导，全面贯彻党的十九大和十九届二中、三中、四中全会精神，深入实施《优化营商环境条例》和《湖北省实施优化营商环境条例办法》，持续深化“放管服”改革，全面清理涉企经营许可事项，推进“证照分离”改革全覆盖，进一步扩大企业经营自主权，创新和加强事中事后监管，营造市场化、法治化、国际化的营商环境，推动我市营商环境整体水平进入全省前列，助力黄石疫后重振和高质量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二、工作目标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自2020年10月底起，在全市范围内开展“证照分离”改革全覆盖试点工作。对中央层面设定、审批权限在市级以下的涉企经营许可事项（附表1），省级层面设定、审批权限在市级以下的涉企经营许可事项（附表2），以及市级层面设定的涉企经营许可事项（附表3），全部纳入改革范围。对中央和省级层面设定、审批权限尚未下放等涉企经营许可事项，各部门应做好对接，加强事中事后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三、主要任务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（一）落实清单管理制度。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梳理事项清单，逐项明确事项名称、设定依据、审批层级、改革方式、具体改革举措、加强事中事后监管措施及</w:t>
      </w:r>
      <w:r>
        <w:rPr>
          <w:rFonts w:hint="eastAsia" w:ascii="仿宋_GB2312" w:hAnsi="仿宋_GB2312" w:eastAsia="仿宋_GB2312" w:cs="仿宋_GB2312"/>
          <w:sz w:val="32"/>
          <w:szCs w:val="32"/>
          <w:lang w:eastAsia="zh-CN"/>
        </w:rPr>
        <w:t>市级主管部门</w:t>
      </w:r>
      <w:r>
        <w:rPr>
          <w:rFonts w:hint="eastAsia" w:ascii="仿宋_GB2312" w:hAnsi="仿宋_GB2312" w:eastAsia="仿宋_GB2312" w:cs="仿宋_GB2312"/>
          <w:sz w:val="32"/>
          <w:szCs w:val="32"/>
        </w:rPr>
        <w:t>等内容，定期调整更新并向社会公布。相关部门逐条认领改革事项，细化具体落实措施，确保各事项改革落实到位。清单之外不得违规限制企业（含个体工商户、农民专业合作社，下同）进入相关行业或领域，企业取得营业执照即可自主开展经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（二）分类实施改革措施。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直接取消审批。对直接取消审批的事项，企业持营业执照即可开展经营。有关主管部门不得变相保留审批，应同步调整和公布行政许可事项目录、政府权责清单。直接取消审批后，有关主管部门仍对相关经营活动负监管职责，通过湖北省信息共享交换平台及时下载市场监管部门推送的企业登记数据，将相关企业纳入监管范围，依法实施事中事后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审批改为备案。有关主管部门应逐项制定备案管理办法，明确备案的条件、内容、程序、期限以及需报送的材料目录和备案示范文本等，防止以备案之名变相审批。原则上按照“多证合一”要求，在企业登记注册环节一并办理备案事项，由市场监管部门及时将备案信息推送至有关主管部门。推行网上备案，确需到有关主管部门办理备案的，应简化备案要素，强化信息共享，实现当场办结、只跑一次。企业备案后，有关主管部门要依法实施有效监管。在事中事后监管过程中发现企业未备案或者备案信息不真实、不准确的，应责令企业办理备案手续或进行更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实行告知承诺。对实行告知承诺的事项，有关主管部门要制定告知承诺书范本，依法准确列出经营许可条件，明确监管规则和违法承诺的后果。对企业自愿作出承诺并按要求提交材料的，当场作出审批决定。对企业承诺已具备经营许可条件的，企业领证后即可开展经营。企业尚不具备经营许可条件但承诺领证后一定期限内具备的，企业达到经营许可条件并按要求提交材料后，方可开展经营。主管部门要履行监管职责，发现不符合承诺条件开展生产经营的，要责令限期整改，逾期不整改或整改后仍达不到要求的，依法撤销许可证件。因未按规定履行告知程序造成的损失由有关主管部门承担，因虚假承诺或违反承诺造成的损失由企业承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优化审批服务。对优化审批服务事项，有关主管部门应逐项明确具体措施，针对企业关心的难点痛点问题，应加大改革创新力度，提高审批服务效率。对国务院、省级有关部门审批事项，应主动对上衔接、争取试点，对市级有关部门审批事项，可将审批权下放或委托下级有关主管部门，最大程度实现企业就近办事。进一步压缩审批要件和环节，精简经营许可条件和审批材料，压减审批时限。对有数量限制的事项，要定期公布总量控制条件、布局规划、企业存量、申请企业排序等情况，方便企业自主决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（三）完善改革配套政策。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规范企业登记经营范围与申办经营许可的衔接。推进经营范围规范化登记，明确涉企经营许可事项对应的经营范围表述。企业登记生成的信息，及时推送至湖北省信息共享交换平台，有关主管部门应及时下载相关信息，依照企业申请及时办理相关经营许可，并将办理结果推送至湖北省信息共享交换平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强化涉企经营信息归集共享。有关主管部门要将企业登记注册、经营许可、备案、执法检查、行政处罚等不涉及国家秘密的信息及时归集至湖北省信息共享交换平台和国家企业信用信息公示系统（湖北）。有关部门可通过信息共享获取的信息，一律不得要求企业提供。涉及部门垂直管理业务信息系统的，有关部门应抓紧制定便捷可行的信息归集共享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3.提升政务服务质量。有关部门要制定准确完备、简明易懂的审批服务指南，消除隐形门槛。加快推进“互联网+政务服务”，推动涉企经营许可事项“一网通办”“一窗办理”，建立审批服务“好差评”制度。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创新和加强事中事后监管。按照“谁审批、谁监管，谁主管、谁监管”的原则，加强审批与监管的衔接，逐项制定具体的监管措施。梳理本部门监管职能范围内的涉企经营许可监管和行政检查事项，纳入“互联网+监管”系统实行动态监管。推行“双随机、一公开”监管，将更多事项纳入跨部门联合抽查范围。实行包容审慎监管，实施首次轻微违法经营行为容错清单制度。对严重违法经营的企业及相关人员，依法撤销、吊销其有关证照，实施市场禁入措施。加强信用监管，依法查处虚假承诺、违规经营等行为并记入信用记录，实行失信联合惩戒。强化社会监督，落实市场主体责任，提升行业自治水平，引导社会力量参与市场秩序治理，加快构建市场主体自律、政府监管、社会监督互为支撑的协同监管格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    四、工作要求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（一）强化组织领导。</w:t>
      </w:r>
      <w:r>
        <w:rPr>
          <w:rFonts w:hint="eastAsia" w:ascii="仿宋_GB2312" w:hAnsi="仿宋_GB2312" w:eastAsia="仿宋_GB2312" w:cs="仿宋_GB2312"/>
          <w:sz w:val="32"/>
          <w:szCs w:val="32"/>
        </w:rPr>
        <w:t>市推进政府职能转变和“放管服”改革协调小组负责统筹领导全市“证照分离”改革全覆盖试点工作，市市场监管局、市政务服务和大数据管理局、市司法局牵头负责具体协调推进。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 xml:space="preserve">    （二）强化任务落实。</w:t>
      </w:r>
      <w:r>
        <w:rPr>
          <w:rFonts w:hint="eastAsia" w:ascii="仿宋_GB2312" w:hAnsi="仿宋_GB2312" w:eastAsia="仿宋_GB2312" w:cs="仿宋_GB2312"/>
          <w:sz w:val="32"/>
          <w:szCs w:val="32"/>
        </w:rPr>
        <w:t>各县（市、区）人民政府和相关市直部门要结合实际制定改革试点实施方案，严格落实工作要求，保证全部实施到位。积极认领相关改革事项，压实事中事后监管责任，确保改革任务全面完成。坚持依法改革，立法机构和司法部门要根据法律、行政法规、国务院、省政府决定的调整情况，及时对政府规章、规范性文件作相应调整，建立与试点相适应的管理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 xml:space="preserve">    （三）强化宣传推动。</w:t>
      </w:r>
      <w:r>
        <w:rPr>
          <w:rFonts w:hint="eastAsia" w:ascii="仿宋_GB2312" w:hAnsi="仿宋_GB2312" w:eastAsia="仿宋_GB2312" w:cs="仿宋_GB2312"/>
          <w:sz w:val="32"/>
          <w:szCs w:val="32"/>
        </w:rPr>
        <w:t>做好改革政策的宣传、解读、培训等工作，让企业知晓政策、用足政策，回应社会关切，凝聚改革共识，形成推动改革的良好氛围。适时组织改革总结评估，及时研究问题、完善政策举措。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附件：1.“证照分离”改革全覆盖试点事项清单（中央层面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设定，2019年版）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2.“证照分离”改革全覆盖</w:t>
      </w:r>
      <w:r>
        <w:rPr>
          <w:rFonts w:hint="eastAsia" w:ascii="仿宋_GB2312" w:hAnsi="仿宋_GB2312" w:eastAsia="仿宋_GB2312" w:cs="仿宋_GB2312"/>
          <w:sz w:val="32"/>
          <w:szCs w:val="32"/>
          <w:lang w:eastAsia="zh-CN"/>
        </w:rPr>
        <w:t>试点</w:t>
      </w:r>
      <w:r>
        <w:rPr>
          <w:rFonts w:hint="eastAsia" w:ascii="仿宋_GB2312" w:hAnsi="仿宋_GB2312" w:eastAsia="仿宋_GB2312" w:cs="仿宋_GB2312"/>
          <w:sz w:val="32"/>
          <w:szCs w:val="32"/>
        </w:rPr>
        <w:t>事项清单（湖北省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省级层面设定，2020年版）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pPr>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《方案》附件</w:t>
      </w:r>
      <w:r>
        <w:rPr>
          <w:rFonts w:hint="eastAsia" w:ascii="黑体" w:hAnsi="黑体" w:eastAsia="黑体" w:cs="黑体"/>
          <w:sz w:val="32"/>
          <w:szCs w:val="32"/>
          <w:lang w:val="en-US" w:eastAsia="zh-CN"/>
        </w:rPr>
        <w:t>1</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“证照分离”改革全覆盖试点事项清单</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（中央层面设定，2019年版）</w:t>
      </w:r>
    </w:p>
    <w:p>
      <w:pPr>
        <w:jc w:val="center"/>
      </w:pPr>
      <w:r>
        <w:rPr>
          <w:rFonts w:hint="eastAsia" w:ascii="楷体_GB2312" w:hAnsi="楷体_GB2312" w:eastAsia="楷体_GB2312" w:cs="楷体_GB2312"/>
          <w:sz w:val="32"/>
          <w:szCs w:val="32"/>
        </w:rPr>
        <w:t>（共523项）</w:t>
      </w:r>
    </w:p>
    <w:tbl>
      <w:tblPr>
        <w:tblStyle w:val="6"/>
        <w:tblW w:w="14392" w:type="dxa"/>
        <w:jc w:val="center"/>
        <w:tblLayout w:type="fixed"/>
        <w:tblCellMar>
          <w:top w:w="0" w:type="dxa"/>
          <w:left w:w="108" w:type="dxa"/>
          <w:bottom w:w="0" w:type="dxa"/>
          <w:right w:w="108" w:type="dxa"/>
        </w:tblCellMar>
      </w:tblPr>
      <w:tblGrid>
        <w:gridCol w:w="581"/>
        <w:gridCol w:w="475"/>
        <w:gridCol w:w="1138"/>
        <w:gridCol w:w="975"/>
        <w:gridCol w:w="3"/>
        <w:gridCol w:w="1072"/>
        <w:gridCol w:w="737"/>
        <w:gridCol w:w="464"/>
        <w:gridCol w:w="439"/>
        <w:gridCol w:w="439"/>
        <w:gridCol w:w="439"/>
        <w:gridCol w:w="451"/>
        <w:gridCol w:w="3178"/>
        <w:gridCol w:w="4001"/>
      </w:tblGrid>
      <w:tr>
        <w:tblPrEx>
          <w:tblCellMar>
            <w:top w:w="0" w:type="dxa"/>
            <w:left w:w="108" w:type="dxa"/>
            <w:bottom w:w="0" w:type="dxa"/>
            <w:right w:w="108" w:type="dxa"/>
          </w:tblCellMar>
        </w:tblPrEx>
        <w:trPr>
          <w:trHeight w:val="220"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黑体" w:hAnsi="黑体" w:eastAsia="黑体" w:cs="黑体"/>
                <w:sz w:val="21"/>
              </w:rPr>
            </w:pPr>
            <w:r>
              <w:rPr>
                <w:rFonts w:hint="eastAsia" w:ascii="黑体" w:hAnsi="黑体" w:eastAsia="黑体" w:cs="黑体"/>
                <w:sz w:val="21"/>
              </w:rPr>
              <w:t>序号</w:t>
            </w:r>
          </w:p>
        </w:tc>
        <w:tc>
          <w:tcPr>
            <w:tcW w:w="47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黑体" w:hAnsi="黑体" w:eastAsia="黑体" w:cs="黑体"/>
                <w:sz w:val="21"/>
              </w:rPr>
            </w:pPr>
            <w:r>
              <w:rPr>
                <w:rFonts w:hint="eastAsia" w:ascii="黑体" w:hAnsi="黑体" w:eastAsia="黑体" w:cs="黑体"/>
                <w:sz w:val="21"/>
              </w:rPr>
              <w:t>主管部门</w:t>
            </w:r>
          </w:p>
        </w:tc>
        <w:tc>
          <w:tcPr>
            <w:tcW w:w="113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黑体" w:hAnsi="黑体" w:eastAsia="黑体" w:cs="黑体"/>
                <w:sz w:val="21"/>
              </w:rPr>
            </w:pPr>
            <w:r>
              <w:rPr>
                <w:rFonts w:hint="eastAsia" w:ascii="黑体" w:hAnsi="黑体" w:eastAsia="黑体" w:cs="黑体"/>
                <w:sz w:val="21"/>
              </w:rPr>
              <w:t>改革</w:t>
            </w:r>
          </w:p>
          <w:p>
            <w:pPr>
              <w:spacing w:line="280" w:lineRule="exact"/>
              <w:ind w:firstLine="0"/>
              <w:jc w:val="center"/>
              <w:rPr>
                <w:rFonts w:hint="eastAsia" w:ascii="黑体" w:hAnsi="黑体" w:eastAsia="黑体" w:cs="黑体"/>
                <w:sz w:val="21"/>
              </w:rPr>
            </w:pPr>
            <w:r>
              <w:rPr>
                <w:rFonts w:hint="eastAsia" w:ascii="黑体" w:hAnsi="黑体" w:eastAsia="黑体" w:cs="黑体"/>
                <w:sz w:val="21"/>
              </w:rPr>
              <w:t>事项</w:t>
            </w:r>
          </w:p>
        </w:tc>
        <w:tc>
          <w:tcPr>
            <w:tcW w:w="97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黑体" w:hAnsi="黑体" w:eastAsia="黑体" w:cs="黑体"/>
                <w:sz w:val="21"/>
              </w:rPr>
            </w:pPr>
            <w:r>
              <w:rPr>
                <w:rFonts w:hint="eastAsia" w:ascii="黑体" w:hAnsi="黑体" w:eastAsia="黑体" w:cs="黑体"/>
                <w:sz w:val="21"/>
              </w:rPr>
              <w:t>许可证件名称</w:t>
            </w:r>
          </w:p>
        </w:tc>
        <w:tc>
          <w:tcPr>
            <w:tcW w:w="1075"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黑体" w:hAnsi="黑体" w:eastAsia="黑体" w:cs="黑体"/>
                <w:sz w:val="21"/>
              </w:rPr>
            </w:pPr>
            <w:r>
              <w:rPr>
                <w:rFonts w:hint="eastAsia" w:ascii="黑体" w:hAnsi="黑体" w:eastAsia="黑体" w:cs="黑体"/>
                <w:sz w:val="21"/>
              </w:rPr>
              <w:t>设定依据</w:t>
            </w:r>
          </w:p>
        </w:tc>
        <w:tc>
          <w:tcPr>
            <w:tcW w:w="73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黑体" w:hAnsi="黑体" w:eastAsia="黑体" w:cs="黑体"/>
                <w:sz w:val="21"/>
              </w:rPr>
            </w:pPr>
            <w:r>
              <w:rPr>
                <w:rFonts w:hint="eastAsia" w:ascii="黑体" w:hAnsi="黑体" w:eastAsia="黑体" w:cs="黑体"/>
                <w:sz w:val="21"/>
              </w:rPr>
              <w:t>审批层级和部门</w:t>
            </w:r>
          </w:p>
        </w:tc>
        <w:tc>
          <w:tcPr>
            <w:tcW w:w="46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黑体" w:hAnsi="黑体" w:eastAsia="黑体" w:cs="黑体"/>
                <w:sz w:val="21"/>
              </w:rPr>
            </w:pPr>
            <w:r>
              <w:rPr>
                <w:rFonts w:hint="eastAsia" w:ascii="黑体" w:hAnsi="黑体" w:eastAsia="黑体" w:cs="黑体"/>
                <w:sz w:val="21"/>
                <w:lang w:eastAsia="zh-CN"/>
              </w:rPr>
              <w:t>市</w:t>
            </w:r>
            <w:r>
              <w:rPr>
                <w:rFonts w:hint="eastAsia" w:ascii="黑体" w:hAnsi="黑体" w:eastAsia="黑体" w:cs="黑体"/>
                <w:sz w:val="21"/>
              </w:rPr>
              <w:t>级主管部门</w:t>
            </w:r>
          </w:p>
        </w:tc>
        <w:tc>
          <w:tcPr>
            <w:tcW w:w="176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黑体" w:hAnsi="黑体" w:eastAsia="黑体" w:cs="黑体"/>
                <w:sz w:val="21"/>
              </w:rPr>
            </w:pPr>
            <w:r>
              <w:rPr>
                <w:rFonts w:hint="eastAsia" w:ascii="黑体" w:hAnsi="黑体" w:eastAsia="黑体" w:cs="黑体"/>
                <w:sz w:val="21"/>
              </w:rPr>
              <w:t>改革方式</w:t>
            </w:r>
          </w:p>
        </w:tc>
        <w:tc>
          <w:tcPr>
            <w:tcW w:w="317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黑体" w:hAnsi="黑体" w:eastAsia="黑体" w:cs="黑体"/>
                <w:sz w:val="21"/>
              </w:rPr>
            </w:pPr>
            <w:r>
              <w:rPr>
                <w:rFonts w:hint="eastAsia" w:ascii="黑体" w:hAnsi="黑体" w:eastAsia="黑体" w:cs="黑体"/>
                <w:sz w:val="21"/>
              </w:rPr>
              <w:t>具体改革举措</w:t>
            </w:r>
          </w:p>
        </w:tc>
        <w:tc>
          <w:tcPr>
            <w:tcW w:w="400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黑体" w:hAnsi="黑体" w:eastAsia="黑体" w:cs="黑体"/>
                <w:sz w:val="21"/>
              </w:rPr>
            </w:pPr>
            <w:r>
              <w:rPr>
                <w:rFonts w:hint="eastAsia" w:ascii="黑体" w:hAnsi="黑体" w:eastAsia="黑体" w:cs="黑体"/>
                <w:sz w:val="21"/>
              </w:rPr>
              <w:t>加强事中事后监管措施</w:t>
            </w:r>
          </w:p>
        </w:tc>
      </w:tr>
      <w:tr>
        <w:tblPrEx>
          <w:tblCellMar>
            <w:top w:w="0" w:type="dxa"/>
            <w:left w:w="108" w:type="dxa"/>
            <w:bottom w:w="0" w:type="dxa"/>
            <w:right w:w="108" w:type="dxa"/>
          </w:tblCellMar>
        </w:tblPrEx>
        <w:trPr>
          <w:trHeight w:val="1384"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7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113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97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1075"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73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6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Lines="0" w:afterLines="0" w:line="240" w:lineRule="exact"/>
              <w:ind w:firstLine="0"/>
              <w:jc w:val="center"/>
              <w:rPr>
                <w:rFonts w:hint="eastAsia" w:ascii="仿宋_GB2312" w:hAnsi="仿宋_GB2312" w:eastAsia="仿宋_GB2312" w:cs="仿宋_GB2312"/>
                <w:b w:val="0"/>
                <w:bCs w:val="0"/>
                <w:spacing w:val="-16"/>
                <w:sz w:val="21"/>
              </w:rPr>
            </w:pPr>
            <w:r>
              <w:rPr>
                <w:rFonts w:hint="eastAsia" w:ascii="仿宋_GB2312" w:hAnsi="仿宋_GB2312" w:eastAsia="仿宋_GB2312" w:cs="仿宋_GB2312"/>
                <w:b w:val="0"/>
                <w:bCs w:val="0"/>
                <w:spacing w:val="-16"/>
                <w:sz w:val="21"/>
              </w:rPr>
              <w:t>直接取消审批</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Lines="0" w:afterLines="0" w:line="240" w:lineRule="exact"/>
              <w:ind w:firstLine="0"/>
              <w:jc w:val="center"/>
              <w:rPr>
                <w:rFonts w:hint="eastAsia" w:ascii="仿宋_GB2312" w:hAnsi="仿宋_GB2312" w:eastAsia="仿宋_GB2312" w:cs="仿宋_GB2312"/>
                <w:b w:val="0"/>
                <w:bCs w:val="0"/>
                <w:spacing w:val="-16"/>
                <w:sz w:val="21"/>
              </w:rPr>
            </w:pPr>
            <w:r>
              <w:rPr>
                <w:rFonts w:hint="eastAsia" w:ascii="仿宋_GB2312" w:hAnsi="仿宋_GB2312" w:eastAsia="仿宋_GB2312" w:cs="仿宋_GB2312"/>
                <w:b w:val="0"/>
                <w:bCs w:val="0"/>
                <w:spacing w:val="-16"/>
                <w:sz w:val="21"/>
              </w:rPr>
              <w:t>审批改为备案</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Lines="0" w:afterLines="0" w:line="240" w:lineRule="exact"/>
              <w:ind w:firstLine="0"/>
              <w:jc w:val="center"/>
              <w:rPr>
                <w:rFonts w:hint="eastAsia" w:ascii="仿宋_GB2312" w:hAnsi="仿宋_GB2312" w:eastAsia="仿宋_GB2312" w:cs="仿宋_GB2312"/>
                <w:b w:val="0"/>
                <w:bCs w:val="0"/>
                <w:spacing w:val="-16"/>
                <w:sz w:val="21"/>
              </w:rPr>
            </w:pPr>
            <w:r>
              <w:rPr>
                <w:rFonts w:hint="eastAsia" w:ascii="仿宋_GB2312" w:hAnsi="仿宋_GB2312" w:eastAsia="仿宋_GB2312" w:cs="仿宋_GB2312"/>
                <w:b w:val="0"/>
                <w:bCs w:val="0"/>
                <w:spacing w:val="-16"/>
                <w:sz w:val="21"/>
              </w:rPr>
              <w:t>实行告知承诺</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Lines="0" w:afterLines="0" w:line="240" w:lineRule="exact"/>
              <w:ind w:firstLine="0"/>
              <w:jc w:val="center"/>
              <w:rPr>
                <w:rFonts w:hint="eastAsia" w:ascii="仿宋_GB2312" w:hAnsi="仿宋_GB2312" w:eastAsia="仿宋_GB2312" w:cs="仿宋_GB2312"/>
                <w:b w:val="0"/>
                <w:bCs w:val="0"/>
                <w:spacing w:val="-16"/>
                <w:sz w:val="21"/>
              </w:rPr>
            </w:pPr>
            <w:r>
              <w:rPr>
                <w:rFonts w:hint="eastAsia" w:ascii="仿宋_GB2312" w:hAnsi="仿宋_GB2312" w:eastAsia="仿宋_GB2312" w:cs="仿宋_GB2312"/>
                <w:b w:val="0"/>
                <w:bCs w:val="0"/>
                <w:spacing w:val="-16"/>
                <w:sz w:val="21"/>
              </w:rPr>
              <w:t>优化审批服务</w:t>
            </w:r>
          </w:p>
        </w:tc>
        <w:tc>
          <w:tcPr>
            <w:tcW w:w="317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00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r>
      <w:tr>
        <w:tblPrEx>
          <w:tblCellMar>
            <w:top w:w="0" w:type="dxa"/>
            <w:left w:w="0" w:type="dxa"/>
            <w:bottom w:w="0" w:type="dxa"/>
            <w:right w:w="0" w:type="dxa"/>
          </w:tblCellMar>
        </w:tblPrEx>
        <w:trPr>
          <w:trHeight w:val="534" w:hRule="atLeast"/>
          <w:jc w:val="center"/>
        </w:trPr>
        <w:tc>
          <w:tcPr>
            <w:tcW w:w="14392" w:type="dxa"/>
            <w:gridSpan w:val="1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0"/>
              <w:rPr>
                <w:rFonts w:hint="eastAsia" w:ascii="仿宋_GB2312" w:hAnsi="仿宋_GB2312" w:eastAsia="仿宋_GB2312" w:cs="仿宋_GB2312"/>
                <w:sz w:val="21"/>
              </w:rPr>
            </w:pPr>
            <w:r>
              <w:rPr>
                <w:rFonts w:hint="eastAsia" w:ascii="仿宋_GB2312" w:hAnsi="仿宋_GB2312" w:eastAsia="仿宋_GB2312" w:cs="仿宋_GB2312"/>
                <w:b/>
                <w:sz w:val="21"/>
                <w:szCs w:val="21"/>
              </w:rPr>
              <w:t>一、审批</w:t>
            </w:r>
            <w:r>
              <w:rPr>
                <w:rFonts w:hint="eastAsia" w:ascii="仿宋_GB2312" w:hAnsi="仿宋_GB2312" w:eastAsia="仿宋_GB2312" w:cs="仿宋_GB2312"/>
                <w:b/>
                <w:sz w:val="21"/>
                <w:szCs w:val="21"/>
                <w:lang w:eastAsia="zh-CN"/>
              </w:rPr>
              <w:t>层级为市级</w:t>
            </w:r>
            <w:r>
              <w:rPr>
                <w:rFonts w:hint="eastAsia" w:ascii="仿宋_GB2312" w:hAnsi="仿宋_GB2312" w:eastAsia="仿宋_GB2312" w:cs="仿宋_GB2312"/>
                <w:b/>
                <w:sz w:val="21"/>
                <w:szCs w:val="21"/>
              </w:rPr>
              <w:t>及以下类</w:t>
            </w:r>
            <w:r>
              <w:rPr>
                <w:rFonts w:hint="eastAsia" w:ascii="仿宋_GB2312" w:hAnsi="仿宋_GB2312" w:eastAsia="仿宋_GB2312" w:cs="仿宋_GB2312"/>
                <w:b/>
                <w:sz w:val="21"/>
                <w:szCs w:val="21"/>
                <w:lang w:eastAsia="zh-CN"/>
              </w:rPr>
              <w:t>（</w:t>
            </w:r>
            <w:r>
              <w:rPr>
                <w:rFonts w:hint="eastAsia" w:ascii="仿宋_GB2312" w:hAnsi="仿宋_GB2312" w:eastAsia="仿宋_GB2312" w:cs="仿宋_GB2312"/>
                <w:b/>
                <w:sz w:val="21"/>
                <w:szCs w:val="21"/>
              </w:rPr>
              <w:t>共</w:t>
            </w:r>
            <w:r>
              <w:rPr>
                <w:rFonts w:hint="eastAsia" w:ascii="仿宋_GB2312" w:hAnsi="仿宋_GB2312" w:eastAsia="仿宋_GB2312" w:cs="仿宋_GB2312"/>
                <w:b/>
                <w:sz w:val="21"/>
                <w:szCs w:val="21"/>
                <w:lang w:val="en-US" w:eastAsia="zh-CN"/>
              </w:rPr>
              <w:t>101</w:t>
            </w:r>
            <w:r>
              <w:rPr>
                <w:rFonts w:hint="eastAsia" w:ascii="仿宋_GB2312" w:hAnsi="仿宋_GB2312" w:eastAsia="仿宋_GB2312" w:cs="仿宋_GB2312"/>
                <w:b/>
                <w:sz w:val="21"/>
                <w:szCs w:val="21"/>
              </w:rPr>
              <w:t>项</w:t>
            </w:r>
            <w:r>
              <w:rPr>
                <w:rFonts w:hint="eastAsia" w:ascii="仿宋_GB2312" w:hAnsi="仿宋_GB2312" w:eastAsia="仿宋_GB2312" w:cs="仿宋_GB2312"/>
                <w:b/>
                <w:sz w:val="21"/>
                <w:szCs w:val="21"/>
                <w:lang w:eastAsia="zh-CN"/>
              </w:rPr>
              <w:t>）</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商务部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对外贸易经营者备案登记</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对外贸易经营者备案登记表</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《中华人民共和国对外贸易法》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县级以上地方商务部门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商务</w:t>
            </w:r>
            <w:r>
              <w:rPr>
                <w:rFonts w:hint="eastAsia" w:ascii="仿宋_GB2312" w:hAnsi="仿宋_GB2312" w:eastAsia="仿宋_GB2312" w:cs="仿宋_GB2312"/>
                <w:sz w:val="21"/>
                <w:szCs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szCs w:val="21"/>
              </w:rPr>
              <w:t>根据全国人大常委会授权决定，暂时调整适用《中华人民共和国对外贸易法》关于“对外贸易经营者备案登记”的规定，取消“对外贸易经营者备案登记”。</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szCs w:val="21"/>
              </w:rPr>
              <w:t>1.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2.商务部指导自由贸易试验区开展“双随机、一公开”监管等事中事后监管，发现违法违规行为的要依法查处并公开结果，对严重违法违规的企业要依法联合实施市场禁入措施。3.加强信用监管，建立经营主体信用记录，实施失信联合惩戒。4.支持行业协会发挥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rPr>
            </w:pPr>
            <w:r>
              <w:rPr>
                <w:rFonts w:hint="eastAsia" w:ascii="仿宋_GB2312" w:hAnsi="仿宋_GB2312" w:eastAsia="仿宋_GB2312" w:cs="仿宋_GB2312"/>
                <w:lang w:val="en-US" w:eastAsia="zh-CN"/>
              </w:rPr>
              <w:t>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公安部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典当业特种行业许可证核发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典当业特种行业许可证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县级以上地方公安机关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市公安局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szCs w:val="21"/>
              </w:rPr>
              <w:t>暂时调整适用《国务院对确需保留的行政审批项目设定行政许可的决定》关于“典当业特种行业许可证核发”的规定，取消审批。</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加强部门间信息共享，省级地方金融监管部门在实施“设立典当行及分支机构审批”后及时将有关信息推送至公安机关，公安机关及时将典当行及其分支机构纳入监管范围。2.开展“双随机、一公开”监管，发现违法违规行为的要依法查处并公开结果。</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食品经营许可（仅销售预包装食品）</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食品经营许可证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《中华人民共和国食品安全法》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县级以上地方市场监管部门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市场监管局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szCs w:val="21"/>
              </w:rPr>
              <w:t>根据全国人大常委会授权决定，暂时调整适用《中华人民共和国食品安全法》关于“食品经营许可（仅销售预包装食品）”的规定，将许可改为备案。改革后，企业从事销售预包装食品的经营活动，应持有营业执照并按要求进行备案。同时，将“食品经营备案（仅销售预包装食品）”纳入“多证合一”范围，在企业登记注册环节一并办理备案手续。</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对备案企业加强监督检查，重点检查备案信息与实际情况是否相符、备案企业是否经营预包装食品以外的其他食品，依法严厉打击违规经营行为。</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将虚假备案、违规经营等信息记入企业食品安全信用记录，对失信主体开展联合惩戒。3.畅通投诉举报渠道，强化社会监督。</w:t>
            </w:r>
          </w:p>
        </w:tc>
      </w:tr>
      <w:tr>
        <w:tblPrEx>
          <w:tblCellMar>
            <w:top w:w="0" w:type="dxa"/>
            <w:left w:w="108" w:type="dxa"/>
            <w:bottom w:w="0" w:type="dxa"/>
            <w:right w:w="108" w:type="dxa"/>
          </w:tblCellMar>
        </w:tblPrEx>
        <w:trPr>
          <w:trHeight w:val="294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诊所设置审批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《医疗机构管理条例》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市卫健委</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szCs w:val="21"/>
              </w:rPr>
              <w:t>暂时调整适用《医疗机构管理条例》关于“诊所设置审批”的规定，将诊所设置审批改为备案。改革后，诊所开展诊疗活动应持有营业执照并按要求进行备案。同时，取消设置诊所的规划限制。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诊所执业登记</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医疗机构执业许可证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《医疗机构管理条例》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市卫健委</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szCs w:val="21"/>
              </w:rPr>
              <w:t>暂时调整适用《医疗机构管理条例》关于“诊所执业登记”的规定，将诊所执业登记改为备案。改革后，诊所开展诊疗活动应持有营业执照并按要求进行备案。同时，取消设置诊所的规划限制。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r>
      <w:tr>
        <w:tblPrEx>
          <w:tblCellMar>
            <w:top w:w="0" w:type="dxa"/>
            <w:left w:w="108" w:type="dxa"/>
            <w:bottom w:w="0" w:type="dxa"/>
            <w:right w:w="108" w:type="dxa"/>
          </w:tblCellMar>
        </w:tblPrEx>
        <w:trPr>
          <w:trHeight w:val="520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公众聚集场所投入使用、营业前消防安全检查</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公众聚集场所投入使用、营业前消防安全检查合格证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《中华人民共和国消防法》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设区的市、县级消防救援机构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消防救援</w:t>
            </w:r>
            <w:r>
              <w:rPr>
                <w:rFonts w:hint="eastAsia" w:ascii="仿宋_GB2312" w:hAnsi="仿宋_GB2312" w:eastAsia="仿宋_GB2312" w:cs="仿宋_GB2312"/>
                <w:sz w:val="21"/>
                <w:szCs w:val="21"/>
                <w:lang w:eastAsia="zh-CN"/>
              </w:rPr>
              <w:t>支</w:t>
            </w:r>
            <w:r>
              <w:rPr>
                <w:rFonts w:hint="eastAsia" w:ascii="仿宋_GB2312" w:hAnsi="仿宋_GB2312" w:eastAsia="仿宋_GB2312" w:cs="仿宋_GB2312"/>
                <w:sz w:val="21"/>
                <w:szCs w:val="21"/>
              </w:rPr>
              <w:t>队</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szCs w:val="21"/>
              </w:rPr>
              <w:t>根据全国人大常委会授权决定，暂时调整适用《中华人民共和国消防法》关于“公众聚集场所投入使用、营业前消防安全检查”的规定，实行告知承诺：1.制定公众聚集场所消防安全标准并向社会公布，提供告知承诺书格式文本。2当事人承诺符合消防安全标准并提供相关材料的，消防救援机构不再进行实质性审查，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开展“双随机、一公开”监管，对投诉举报多的场所实施重点监管。2.公众聚集场所发生造成人员死亡或重大社会影响的火灾，倒查使用管理方主体责任，依法严肃查处。3.加强信用监管，向社会公布公众聚集场所消防安全检查情况，对失信主体加大抽查比例并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公安部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旅馆业特种行业许可证核发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旅馆业特种行业许可证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《国务院对确需保留的行政审批项目设定行政许可的决定》</w:t>
            </w:r>
          </w:p>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《旅馆业治安管理办法》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县级以上地方公安机关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公安</w:t>
            </w:r>
            <w:r>
              <w:rPr>
                <w:rFonts w:hint="eastAsia" w:ascii="仿宋_GB2312" w:hAnsi="仿宋_GB2312" w:eastAsia="仿宋_GB2312" w:cs="仿宋_GB2312"/>
                <w:sz w:val="21"/>
                <w:szCs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szCs w:val="21"/>
              </w:rPr>
              <w:t>一次性告知申请人申办旅馆业特种行业许可证应具备的条件和需提交的材料（包括房屋建筑、消防设备、出入口和通道等符合《中华人民共和国消防法》等规定，具备必要的防盗安全设施）。申请人承诺符合条件并提交材料的，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1.加强对承诺内容真实性的核查，发现虚假承诺、承诺严重不实的要依法处理。2.开展“双随机、一公开”监管，依法查处违法违规行为。</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公安部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公章刻制业特种行业许可证核发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公章刻制业特种行业许可证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《国务院对确需保留的行政审批项目设定行政许可的决定》</w:t>
            </w:r>
          </w:p>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《印铸刻字业暂行管理规则》</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设区的市、县级公安机关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公安</w:t>
            </w:r>
            <w:r>
              <w:rPr>
                <w:rFonts w:hint="eastAsia" w:ascii="仿宋_GB2312" w:hAnsi="仿宋_GB2312" w:eastAsia="仿宋_GB2312" w:cs="仿宋_GB2312"/>
                <w:sz w:val="21"/>
                <w:szCs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szCs w:val="21"/>
              </w:rPr>
              <w:t>一次性告知申请人申办公章刻制业特种行业许可证应具备的条件和需提交的材料（包括申请登记表、像片、略图、名册）。申请人承诺符合条件并提交材料的，当场作出审批决定。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1.加强对承诺内容真实性的核查，发现虚假承诺、承诺严重不实的要依法处理。2.开展“双随机、一公开”监管，依法查处违法违规行为。</w:t>
            </w:r>
          </w:p>
        </w:tc>
      </w:tr>
      <w:tr>
        <w:tblPrEx>
          <w:tblCellMar>
            <w:top w:w="0" w:type="dxa"/>
            <w:left w:w="108" w:type="dxa"/>
            <w:bottom w:w="0" w:type="dxa"/>
            <w:right w:w="108" w:type="dxa"/>
          </w:tblCellMar>
        </w:tblPrEx>
        <w:trPr>
          <w:trHeight w:val="2177"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公安部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互联网上网服务营业场所信息网络安全审核</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《互联网上网服务营业场所管理条例》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省、设区的市、县级公安机关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公安</w:t>
            </w:r>
            <w:r>
              <w:rPr>
                <w:rFonts w:hint="eastAsia" w:ascii="仿宋_GB2312" w:hAnsi="仿宋_GB2312" w:eastAsia="仿宋_GB2312" w:cs="仿宋_GB2312"/>
                <w:sz w:val="21"/>
                <w:szCs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szCs w:val="21"/>
              </w:rPr>
              <w:t>1.实行申请、审批全程网上办理。2.一次性告知申请人申办互联网上网服务营业场所信息安全审核应具备的条件和需提交的材料。申请人承诺符合条件并提交材料的，当场作出审批决定。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1.开展“双随机、一公开”监管，合理确定抽查比例。2.加强信用监管，建立从业人员信用档案，对失信主体开展联合惩戒。</w:t>
            </w:r>
          </w:p>
        </w:tc>
      </w:tr>
      <w:tr>
        <w:tblPrEx>
          <w:tblCellMar>
            <w:top w:w="0" w:type="dxa"/>
            <w:left w:w="108" w:type="dxa"/>
            <w:bottom w:w="0" w:type="dxa"/>
            <w:right w:w="108" w:type="dxa"/>
          </w:tblCellMar>
        </w:tblPrEx>
        <w:trPr>
          <w:trHeight w:val="387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财政部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中介机构从事代理记账业务审批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代理记账许可证书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《中华人民共和国会计法》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县级以上地方财政部门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市财政局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szCs w:val="21"/>
              </w:rPr>
              <w:t>1.将中介机构从事代理记账业务审批权限下放至县级以上地方财政部门。2.对从事代理记账业务的中介机构应当具备的执业条件（包括企业依法设立、专职从业人员不少于3名、主管代理记账业务的负责人具有会计师以上专业技术职务资格或者从事会计工作不少于3年且为专职从业人员、有健全的代理记账业务内部规范）实行告知承诺，经形式审查后当场作出审批决定。3.2020年底前实现代理记账许可证书电子化。</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向社会公布中介机构信用状况和违法中介机构名单，对失信主体开展联合惩戒。</w:t>
            </w:r>
          </w:p>
        </w:tc>
      </w:tr>
      <w:tr>
        <w:tblPrEx>
          <w:tblCellMar>
            <w:top w:w="0" w:type="dxa"/>
            <w:left w:w="108" w:type="dxa"/>
            <w:bottom w:w="0" w:type="dxa"/>
            <w:right w:w="108" w:type="dxa"/>
          </w:tblCellMar>
        </w:tblPrEx>
        <w:trPr>
          <w:trHeight w:val="219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szCs w:val="21"/>
              </w:rPr>
              <w:t>人力资源社会保障部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民办职业培训学校设立、分立、合并、变更及终止审批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民办学校办学许可证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《中华人民共和国民办教育促进法》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县级以上地方人力资源社会保障部门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市人社局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对承诺将在规定期限内具备举办者培养目标、办学规模、办学层次、办学形式、内部管理体制、资产来源、资金数额等条件的，经形式审查后当场作出审批决定。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1.开展“双随机、一公开”监管，发现违法违规行为的要依法查处并公开结果。2.加强信用监管，向社会公布民办职业培训学校信用状况，对失信主体开展联合惩戒。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szCs w:val="21"/>
              </w:rPr>
              <w:t>人力资源社会保障部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人力资源服务许可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人力资源服务许可证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《中华人民共和国就业促进法》</w:t>
            </w:r>
          </w:p>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《人力资源市场暂行条例》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szCs w:val="21"/>
              </w:rPr>
              <w:t>县级以上地方人力资源社会保障部门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市人社局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有关单位承诺已具备明确的章程和管理制度、开展业务必备的固定场所和办公设施、一定数量具备相应职业资格的专职工作人员等条件的，经形式审查后当场作出审批决定。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1.开展“双随机、一公开”监管，发现违法违规行为的要依法查处并公开结果。2.加强信用监管，向社会公布人力资源服务机构信用状况，对失信主体开展联合惩戒。</w:t>
            </w:r>
          </w:p>
        </w:tc>
      </w:tr>
      <w:tr>
        <w:tblPrEx>
          <w:tblCellMar>
            <w:top w:w="0" w:type="dxa"/>
            <w:left w:w="108" w:type="dxa"/>
            <w:bottom w:w="0" w:type="dxa"/>
            <w:right w:w="108" w:type="dxa"/>
          </w:tblCellMar>
        </w:tblPrEx>
        <w:trPr>
          <w:trHeight w:val="4827"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建筑业企业资质认定（施工总承包部分三级、专业承包部分三级、预拌混凝土、模板脚手架专业承包、燃气燃烧器具安装维修企业资质）</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建筑业企业资质证书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《中华人民共和国建筑法》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设区的市级住房城乡建设部门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住房和城乡建设</w:t>
            </w:r>
            <w:r>
              <w:rPr>
                <w:rFonts w:hint="eastAsia" w:ascii="仿宋_GB2312" w:hAnsi="仿宋_GB2312" w:eastAsia="仿宋_GB2312" w:cs="仿宋_GB2312"/>
                <w:sz w:val="21"/>
                <w:szCs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申请人承诺已经具备许可条件的，经形式审查后当场作出审批决定。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CellMar>
            <w:top w:w="0" w:type="dxa"/>
            <w:left w:w="108" w:type="dxa"/>
            <w:bottom w:w="0" w:type="dxa"/>
            <w:right w:w="108" w:type="dxa"/>
          </w:tblCellMar>
        </w:tblPrEx>
        <w:trPr>
          <w:trHeight w:val="296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从事生活垃圾（含粪便）经营性清扫、收集、运输、处理服务审批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从事生活垃圾（含粪便）经营性清扫、收集、运输、处理服务许可证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县级以上地方住房城乡建设（环境卫生）部门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市城管委</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申请人承诺已经具备许可条件的，经形式审查后当场作出审批决定。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发现企业不符合承诺条件开展经营的责令限期整改，逾期不整改或整改后仍达不到要求的依法撤销许可证件。2.构建生活垃圾全过程监管体系，强化日常监管。3.推动生活垃圾无害化处理设施建设和运营信息公开。</w:t>
            </w:r>
          </w:p>
        </w:tc>
      </w:tr>
      <w:tr>
        <w:tblPrEx>
          <w:tblCellMar>
            <w:top w:w="0" w:type="dxa"/>
            <w:left w:w="108" w:type="dxa"/>
            <w:bottom w:w="0" w:type="dxa"/>
            <w:right w:w="108" w:type="dxa"/>
          </w:tblCellMar>
        </w:tblPrEx>
        <w:trPr>
          <w:trHeight w:val="263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道路货运经营许可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道路运输经营许可证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《中华人民共和国道路运输条例》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市交通运输局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1.对道路货物运输申请人应当具备的条件（包括管理制度、人员及车辆等）实行告知承诺。2.对申请人尚不具备经营许可条件但承诺领证后一定期限内具备的，经形式审查后当场作出审批决定。3.申请人履行承诺、达到经营许可条件并按要求提交材料后，方可开展经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r>
      <w:tr>
        <w:tblPrEx>
          <w:tblCellMar>
            <w:top w:w="0" w:type="dxa"/>
            <w:left w:w="108" w:type="dxa"/>
            <w:bottom w:w="0" w:type="dxa"/>
            <w:right w:w="108" w:type="dxa"/>
          </w:tblCellMar>
        </w:tblPrEx>
        <w:trPr>
          <w:trHeight w:val="2521"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道路旅客运输站经营许可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道路运输经营许可证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《中华人民共和国道路运输条例》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市交通运输局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对申请人提交申请表、客运站竣工验收证明和站级验收证明、拟招聘的专业人员及管理人员身份证件和专业证书、负责人身份证件、业务操作规程和安全管理制度文本等材料，并承诺已具备经营许可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r>
      <w:tr>
        <w:tblPrEx>
          <w:tblCellMar>
            <w:top w:w="0" w:type="dxa"/>
            <w:left w:w="108" w:type="dxa"/>
            <w:bottom w:w="0" w:type="dxa"/>
            <w:right w:w="108" w:type="dxa"/>
          </w:tblCellMar>
        </w:tblPrEx>
        <w:trPr>
          <w:trHeight w:val="284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生鲜乳准运证明核发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生鲜乳准运证明</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《乳品质量安全监督管理条例》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农业农村</w:t>
            </w:r>
            <w:r>
              <w:rPr>
                <w:rFonts w:hint="eastAsia" w:ascii="仿宋_GB2312" w:hAnsi="仿宋_GB2312" w:eastAsia="仿宋_GB2312" w:cs="仿宋_GB2312"/>
                <w:sz w:val="21"/>
                <w:szCs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一次性告知申请人申办生鲜乳准运证明应具备的条件和需提交的材料（包括车辆行驶证复印件及车辆照片、车辆贮奶罐合格证明材料、车辆所有者身份证明和驾驶员、押运员身份证及健康证）。申请人承诺符合条件并提交材料的，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1.开展“双随机、一公开”监管，发现违法违规行为的要依法查处并公开结果。2.加强对生鲜乳运输车辆的监管，将车辆全部纳入监管监测信息系统，实时掌握运营情况。</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兽药经营许可证核发（非生物制品类）</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兽药经营许可证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《兽药管理条例》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设区的市、县级农业农村部门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农业农村</w:t>
            </w:r>
            <w:r>
              <w:rPr>
                <w:rFonts w:hint="eastAsia" w:ascii="仿宋_GB2312" w:hAnsi="仿宋_GB2312" w:eastAsia="仿宋_GB2312" w:cs="仿宋_GB2312"/>
                <w:sz w:val="21"/>
                <w:szCs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一次性告知申请人申办兽药经营许可证应具备的条件和需提交的材料，申请人承诺符合条件并提交材料的，当场作出审批决定。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r>
      <w:tr>
        <w:tblPrEx>
          <w:tblCellMar>
            <w:top w:w="0" w:type="dxa"/>
            <w:left w:w="108" w:type="dxa"/>
            <w:bottom w:w="0" w:type="dxa"/>
            <w:right w:w="108" w:type="dxa"/>
          </w:tblCellMar>
        </w:tblPrEx>
        <w:trPr>
          <w:trHeight w:val="2281"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动物诊疗许可证核发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动物诊疗许可证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《中华人民共和国动物防疫法》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农业农村</w:t>
            </w:r>
            <w:r>
              <w:rPr>
                <w:rFonts w:hint="eastAsia" w:ascii="仿宋_GB2312" w:hAnsi="仿宋_GB2312" w:eastAsia="仿宋_GB2312" w:cs="仿宋_GB2312"/>
                <w:sz w:val="21"/>
                <w:szCs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对动物诊疗机构应当具备的条件和技术能力（包括面积、选址、布局、设施设备、制度、人员要求等）实行告知承诺，申请人承诺符合条件并提交材料的，当场作出审批决定。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1.开展“双随机、一公开”监管，发现违法违规行为的要依法查处并公开结果。2.对以告知承诺方式取得经营许可证的企业，加强对其承诺内容真实性的核查，发现虚假承诺或承诺严重不实的要依法处理。</w:t>
            </w:r>
          </w:p>
        </w:tc>
      </w:tr>
      <w:tr>
        <w:tblPrEx>
          <w:tblCellMar>
            <w:top w:w="0" w:type="dxa"/>
            <w:left w:w="108" w:type="dxa"/>
            <w:bottom w:w="0" w:type="dxa"/>
            <w:right w:w="108" w:type="dxa"/>
          </w:tblCellMar>
        </w:tblPrEx>
        <w:trPr>
          <w:trHeight w:val="248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旅行社设立许可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旅行社业务经营许可证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《中华人民共和国旅游法》</w:t>
            </w:r>
          </w:p>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《旅行社条例》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文化和旅游</w:t>
            </w:r>
            <w:r>
              <w:rPr>
                <w:rFonts w:hint="eastAsia" w:ascii="仿宋_GB2312" w:hAnsi="仿宋_GB2312" w:eastAsia="仿宋_GB2312" w:cs="仿宋_GB2312"/>
                <w:sz w:val="21"/>
                <w:szCs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1.有关单位承诺已具备经营场所、营业设施、注册资本、经营管理人员和导游等许可条件，并承诺按时缴纳旅游服务质量保证金的，经形式审查后当场作出审批决定。2.网上办理审批业务并在网上公布审批程序、受理条件和办理标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1.开展“双随机、一公开”监管，发现未经许可经营旅行社业务，出租、出借、转让业务经营许可证等违法违规行为的，要依法查处并公开结果。2.加强信用监管，对失信主体开展联合惩戒。</w:t>
            </w:r>
          </w:p>
        </w:tc>
      </w:tr>
      <w:tr>
        <w:tblPrEx>
          <w:tblCellMar>
            <w:top w:w="0" w:type="dxa"/>
            <w:left w:w="108" w:type="dxa"/>
            <w:bottom w:w="0" w:type="dxa"/>
            <w:right w:w="108" w:type="dxa"/>
          </w:tblCellMar>
        </w:tblPrEx>
        <w:trPr>
          <w:trHeight w:val="187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公共场所卫生许可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卫生许可证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《公共场所卫生管理条例》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卫健委</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对申办公共场所卫生许可应当具备的条件（空气、水质、采光、照明、噪音、顾客用具和卫生设施等符合卫生标准）实行告知承诺，经形式审查后当场作出审批决定。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1.开展“双随机、一公开”监管，发现违法违规行为的要依法查处并公开结果。2.加强信用监管，向社会公布卫生状况存在严重问题的公共场所信息。3.畅通投诉举报渠道，依法及时处理投诉举报。</w:t>
            </w:r>
          </w:p>
        </w:tc>
      </w:tr>
      <w:tr>
        <w:tblPrEx>
          <w:tblCellMar>
            <w:top w:w="0" w:type="dxa"/>
            <w:left w:w="108" w:type="dxa"/>
            <w:bottom w:w="0" w:type="dxa"/>
            <w:right w:w="108" w:type="dxa"/>
          </w:tblCellMar>
        </w:tblPrEx>
        <w:trPr>
          <w:trHeight w:val="323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szCs w:val="21"/>
              </w:rPr>
              <w:t>从事包装装潢印刷品和其他印刷品（不含商标、票据、保密印刷）印刷经营活动企业（不含外资企业）的设立、变更审批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印刷经营许可证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《印刷业管理条例》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设区的市级新闻出版部门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新闻出版局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szCs w:val="21"/>
              </w:rPr>
              <w:t>1.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2.取消“经营包装装潢印刷品印刷业务的企业必须具备2台以上最近十年生产的胶印、凹印、柔印、丝印等及后序加工设备”的规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r>
      <w:tr>
        <w:tblPrEx>
          <w:tblCellMar>
            <w:top w:w="0" w:type="dxa"/>
            <w:left w:w="108" w:type="dxa"/>
            <w:bottom w:w="0" w:type="dxa"/>
            <w:right w:w="108" w:type="dxa"/>
          </w:tblCellMar>
        </w:tblPrEx>
        <w:trPr>
          <w:trHeight w:val="216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出版物零售个体工商户设立、变更审批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出版物经营许可证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《出版管理条例》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县级新闻出版部门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新闻出版局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公布告知承诺书示范文本，一次性告知审批条件和所需材料。申请人承诺已完成登记注册且已具备经营范围中含出版物零售业务、有固定的经营场所等条件的，经形式审查后当场作出审批决定。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r>
      <w:tr>
        <w:tblPrEx>
          <w:tblCellMar>
            <w:top w:w="0" w:type="dxa"/>
            <w:left w:w="108" w:type="dxa"/>
            <w:bottom w:w="0" w:type="dxa"/>
            <w:right w:w="108" w:type="dxa"/>
          </w:tblCellMar>
        </w:tblPrEx>
        <w:trPr>
          <w:trHeight w:val="262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国家林草局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林草种子（普通）生产经营许可证核发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林草种子生产经营许可证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《中华人民共和国种子法》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县级以上地方林草部门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市自然资源和规划局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1.制作告知承诺书格式文本，编制告知承诺工作规程，完善办事指南。2.申请人承诺已具备相应场所、人员、设施设备、技术能力等条件的，经形式审查后当场作出审批决定。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1.开展“双随机、一公开”监管，发现违法违规行为的要依法查处并公开结果。2.制定核查办法，明确核查时间、标准、方式，优化现场检查程序。3.加强信用监管，建立企业信用档案并向社会公开。</w:t>
            </w:r>
          </w:p>
        </w:tc>
      </w:tr>
      <w:tr>
        <w:tblPrEx>
          <w:tblCellMar>
            <w:top w:w="0" w:type="dxa"/>
            <w:left w:w="108" w:type="dxa"/>
            <w:bottom w:w="0" w:type="dxa"/>
            <w:right w:w="108" w:type="dxa"/>
          </w:tblCellMar>
        </w:tblPrEx>
        <w:trPr>
          <w:trHeight w:val="5437"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国家电影局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电影放映单位设立审批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电影放映经营许可证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《中华人民共和国电影产业促进法》</w:t>
            </w:r>
          </w:p>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《电影管理条例》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县级电影主管部门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市委宣传部</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1.出台电影放映单位设立告知承诺管理办法。2.有关单位承诺已具备人员、场所、技术和设备等条件的，经形式审查后当场作出审批决定。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畅通投诉举报渠道。2.对以告知承诺方式取得电影放映许可的单位，加强对其承诺内容真实性的核查，发现虚假承诺或者承诺严重不实的要及时依法处理。3.发挥行业协会自律作用。</w:t>
            </w:r>
          </w:p>
        </w:tc>
      </w:tr>
      <w:tr>
        <w:tblPrEx>
          <w:tblCellMar>
            <w:top w:w="0" w:type="dxa"/>
            <w:left w:w="108" w:type="dxa"/>
            <w:bottom w:w="0" w:type="dxa"/>
            <w:right w:w="108" w:type="dxa"/>
          </w:tblCellMar>
        </w:tblPrEx>
        <w:trPr>
          <w:trHeight w:val="586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教育部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实施中等及中等以下学历教育、学前教育、自学考试助学及其他文化教育的学校设立、变更和终止审批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中华人民共和国民办学校办学许可证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《中华人民共和国民办教育促进法》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县级以上地方教育部门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市教育局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无违法违规或失信记录，在各学段原有许可证期限基础上延长1年有效期。5.每半年1次公布自由贸易试验区营利性民办学校存量情况。</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r>
      <w:tr>
        <w:tblPrEx>
          <w:tblCellMar>
            <w:top w:w="0" w:type="dxa"/>
            <w:left w:w="108" w:type="dxa"/>
            <w:bottom w:w="0" w:type="dxa"/>
            <w:right w:w="108" w:type="dxa"/>
          </w:tblCellMar>
        </w:tblPrEx>
        <w:trPr>
          <w:trHeight w:val="213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公安部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爆破作业单位许可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爆破作业单位许可证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《民用爆炸物品安全管理条例》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省、设区的市级公安机关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市公安局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不再要求申请者提供爆破作业业绩证明、技术负责人从业经历证明、从业人员资格证明等材料。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1.开展“双随机、一公开”监管，依法查处违法违规行为。2.利用技术手段开展检查，发现不符合资质条件规定的要依法处理。</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公安部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弩的制造、销售、进口、运输、使用审批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市州公安机关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市公安局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1.实行申请、审批全程网上办理。2.不再要求申请人提供营业执照、无违法犯罪记录证明、批准立项文件。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1.开展“双随机、一公开”监管，依法查处违法违规行为。2.及时处理投诉举报。3.通过有关信息系统对企业上报的数据进行核查。</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民政部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建设殡仪馆、火葬场、殡仪服务站、骨灰堂、经营性公墓审批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《殡葬管理条例》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szCs w:val="21"/>
              </w:rPr>
              <w:t>省、设区的市、县级民政部门；设区的市、县级人民政府</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市民政局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1.完善殡葬设施规划，通过规划对殡葬设施进行总量控制。2.加快殡葬信息化建设，推动实现审批全程网上办理。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1.开展“双随机、一公开”监管，建立完善殡葬服务企业随机抽查事项清单，增强监管效能。2.强化公墓年检制度，对违规建设经营行为完善处罚机制和措施。3.推进跨部门联合监管。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人力资源社会保障部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劳务派遣经营许可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劳务派遣经营许可证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《中华人民共和国劳动合同法》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县级以上地方人力资源社会保障部门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市人社局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1.有条件的地区将省、设区的市级人力资源社会保障部门的审批权限下放至县级人力资源社会保障部门。2.实现申请、审批全程网上办理。3.不再要求申请人提供营业执照、企业名称预先核准通知书、法定代表人身份证明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1.开展“双随机、一公开”监管，发现违法违规行为的要依法查处。2.加强信用监管，向社会公布劳务派遣企业信用状况，对失信主体开展联合惩戒。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采矿权新立、延续、变更登记发证与注销登记</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采矿许可证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《中华人民共和国矿产资源法》</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《中华人民共和国矿产资源法实施细则》</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《矿产资源开采登记管理办法》</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szCs w:val="21"/>
              </w:rPr>
              <w:t>《探矿权采矿权转让管理办法》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县级以上地方自然资源部门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市自然资源和规划局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将部分省级审批权限下放至市级自然资源部门。</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1.开展“双随机、一公开”监管，对违法违规采矿的要依法查处并公开结果。2.利用有关信息系统实现矿业权人勘查开采信息公示等，加强对采矿权人行为的监管。</w:t>
            </w:r>
          </w:p>
        </w:tc>
      </w:tr>
      <w:tr>
        <w:tblPrEx>
          <w:tblCellMar>
            <w:top w:w="0" w:type="dxa"/>
            <w:left w:w="108" w:type="dxa"/>
            <w:bottom w:w="0" w:type="dxa"/>
            <w:right w:w="108" w:type="dxa"/>
          </w:tblCellMar>
        </w:tblPrEx>
        <w:trPr>
          <w:trHeight w:val="357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危险废物综合经营许可证核发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危险废物经营许可证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《中华人民共和国固体废物污染环境防治法》</w:t>
            </w:r>
          </w:p>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《危险废物经营许可证管理办法》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县级以上地方生态环境部门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生态环境</w:t>
            </w:r>
            <w:r>
              <w:rPr>
                <w:rFonts w:hint="eastAsia" w:ascii="仿宋_GB2312" w:hAnsi="仿宋_GB2312" w:eastAsia="仿宋_GB2312" w:cs="仿宋_GB2312"/>
                <w:sz w:val="21"/>
                <w:szCs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szCs w:val="21"/>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1.开展“双随机、一公开”监管，合理确定抽查比例。2.畅通投诉举报渠道，依法及时处理有关投诉举报，并公开结果。3.要求危险废物经营单位定期报告有关经营活动情况，将违规经营情况纳入企业信用记录。</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废弃电器电子产品处理企业资格审批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废弃电器电子产品处理资格证书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《废弃电器电子产品回收处理管理条例》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设区的市级生态环境部门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生态环境</w:t>
            </w:r>
            <w:r>
              <w:rPr>
                <w:rFonts w:hint="eastAsia" w:ascii="仿宋_GB2312" w:hAnsi="仿宋_GB2312" w:eastAsia="仿宋_GB2312" w:cs="仿宋_GB2312"/>
                <w:sz w:val="21"/>
                <w:szCs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不再要求申请人提供所在地生态环境部门出具的经营期间守法证明和监督性监测报告及建设项目工程质量、消防和安全验收的证明材料。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1.开展“双随机、一公开”监管，合理确定抽查比例。2.对失信主体强化信用约束，依法查处违规经营等行为并记入信用记录，通过国家企业信用信息公示系统予以公开。3.发挥行业协会自律作用。</w:t>
            </w:r>
          </w:p>
        </w:tc>
      </w:tr>
      <w:tr>
        <w:tblPrEx>
          <w:tblCellMar>
            <w:top w:w="0" w:type="dxa"/>
            <w:left w:w="108" w:type="dxa"/>
            <w:bottom w:w="0" w:type="dxa"/>
            <w:right w:w="108" w:type="dxa"/>
          </w:tblCellMar>
        </w:tblPrEx>
        <w:trPr>
          <w:trHeight w:val="640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排污许可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排污许可证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《中华人民共和国环境保护法》</w:t>
            </w:r>
          </w:p>
          <w:p>
            <w:pPr>
              <w:spacing w:line="28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《中华人民共和国大气污染防治法》</w:t>
            </w:r>
          </w:p>
          <w:p>
            <w:pPr>
              <w:spacing w:line="28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《中华人民共和国水污染防治法》</w:t>
            </w:r>
          </w:p>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《中华人民共和国土壤污染防治法》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县级以上地方生态环境部门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生态环境</w:t>
            </w:r>
            <w:r>
              <w:rPr>
                <w:rFonts w:hint="eastAsia" w:ascii="仿宋_GB2312" w:hAnsi="仿宋_GB2312" w:eastAsia="仿宋_GB2312" w:cs="仿宋_GB2312"/>
                <w:sz w:val="21"/>
                <w:szCs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通过建设项目行业特征表实现有关信息系统的衔接，推动环境影响评价与排污许可之间的信息共享。</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依法查处无证排污行为和未按证排污行为。2.畅通投诉举报渠道，对反映问题多的排污单位实施重点监管。3.加强信用监管，将企业环境信用信息纳入全国信用信息共享平台和国家企业信用信息公示系统，向社会公开信用信息，并对失信主体开展联合惩戒。</w:t>
            </w:r>
          </w:p>
        </w:tc>
      </w:tr>
      <w:tr>
        <w:tblPrEx>
          <w:tblCellMar>
            <w:top w:w="0" w:type="dxa"/>
            <w:left w:w="108" w:type="dxa"/>
            <w:bottom w:w="0" w:type="dxa"/>
            <w:right w:w="108" w:type="dxa"/>
          </w:tblCellMar>
        </w:tblPrEx>
        <w:trPr>
          <w:trHeight w:val="397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房地产开发企业二级资质核定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房地产开发企业资质证书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《中华人民共和国城市房地产管理法》</w:t>
            </w:r>
          </w:p>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《城市房地产开发经营管理条例》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县级以上地方住房城乡建设部门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市住建局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szCs w:val="21"/>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1.开展“双随机、一公开”监管，依法查处违法违规行为并公开结果。2.加强信用监管，对失信主体开展联合惩戒。3.发挥行业协会自律作用。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房地产开发企业三级资质核定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房地产开发企业资质证书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《中华人民共和国城市房地产管理法》</w:t>
            </w:r>
          </w:p>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《城市房地产开发经营管理条例》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县级以上地方住房城乡建设部门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市住建局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1.开展“双随机、一公开”监管，依法查处违法违规行为并公开结果。2.加强信用监管，对失信主体开展联合惩戒。3.发挥行业协会自律作用。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房地产开发企业四级资质核定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房地产开发企业资质证书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《中华人民共和国城市房地产管理法》</w:t>
            </w:r>
          </w:p>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《城市房地产开发经营管理条例》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县级以上地方住房城乡建设部门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市住建局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szCs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szCs w:val="21"/>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szCs w:val="21"/>
              </w:rPr>
              <w:t>1.开展“双随机、一公开”监管，依法查处违法违规行为并公开结果。2.加强信用监管，对失信主体开展联合惩戒。3.发挥行业协会自律作用。</w:t>
            </w:r>
          </w:p>
        </w:tc>
      </w:tr>
      <w:tr>
        <w:tblPrEx>
          <w:tblCellMar>
            <w:top w:w="0" w:type="dxa"/>
            <w:left w:w="108" w:type="dxa"/>
            <w:bottom w:w="0" w:type="dxa"/>
            <w:right w:w="108" w:type="dxa"/>
          </w:tblCellMar>
        </w:tblPrEx>
        <w:trPr>
          <w:trHeight w:val="190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燃气经营许可证核发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燃气经营许可证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《城镇燃气管理条例》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县级以上地方燃气管理部门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lang w:eastAsia="zh-CN"/>
              </w:rPr>
            </w:pPr>
            <w:r>
              <w:rPr>
                <w:rFonts w:hint="eastAsia" w:ascii="仿宋_GB2312" w:hAnsi="仿宋_GB2312" w:eastAsia="仿宋_GB2312" w:cs="仿宋_GB2312"/>
                <w:sz w:val="21"/>
                <w:lang w:eastAsia="zh-CN"/>
              </w:rPr>
              <w:t>市城管委</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1.实行电子化申报和审批。2.不再要求申请人提供人员身份证明、社保证明、资质资格证书等材料。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1.开展“双随机、一公开”监管，通过信息公示、抽查、抽验等方式，综合运用提醒、约谈、告诫等手段，依法查处违法违规行为并公开结果。2.加强信用监管，对失信主体开展联合惩戒。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机动车驾驶员培训许可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道路运输经营许可证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《中华人民共和国道路交通安全法》</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rPr>
              <w:t>《中华人民共和国道路运输条例》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交通运输</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1.不再要求申请人提供身份证复印件、经营场所使用权证明复印件。2.加强与市场监管、公安等部门信息共享，在线获取并核验营业执照、安全驾驶经历等信息。3.将审批时限由15个工作日压减至10个工作日。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1.建立健全信用管理制度，强化对驾驶培训机构和教练员的信用监管。2.加强与公安机关的信息共享，实施跨部门联合监管。3.发挥行业协会自律作用。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国内水路运输业务经营许可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国内水路运输经营许可证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《国内水路运输管理条例》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省、设区的市级水路运输部门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交通运输</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1.实现办理审批“最多跑一次”。2.加强与市场监管部门之间的信息共享，不再要求申请人提供营业执照等材料。3.将审批时限由20个工作日压减至10个工作日。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rPr>
              <w:t>外商投资企业经营沿海、江河、湖泊及其他通航水域水路运输审批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国内水路运输经营许可证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《国内水路运输管理条例》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省、设区的市级水路运输部门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交通运输</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1.实现办理审批“最多跑一次”。2.不再要求申请人提供营业执照，在线获取营业执照等材料。3.将审批时限由20个工作日压减至10个工作日。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经营国内船舶管理业务审批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国内船舶管理业务经营许可证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《国内水路运输管理条例》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省、设区的市级水路运输部门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交通运输</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1.实现办理审批“最多跑一次”。2.不再要求申请人提供营业执照等材料。3.将审批时限由20个工作日压减至10个工作日。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诚信状况差、投诉举报多、受处罚警告多的经营主体提高抽查比例。2.依法及时处理投诉举报。3.加强对国内船舶管理企业的年度书面检查，发现不具备经营许可条件的要依法及时处理。4.针对日常动态监管发现的普遍性问题和突出风险组织开展专项检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建设港口设施使用非深水岸线审批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《中华人民共和国港口法》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rPr>
              <w:t>县级以上地方交通运输（港口）部门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交通运输</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不再要求申请人提供营业执照、公司章程等材料。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1.加强信用监管，将港口岸线使用有关信用信息纳入相关信用信息共享平台并向社会公布。2.依托港口岸线资源监测平台，利用遥感卫星图片跟踪岸线资源利用情况，发现问题要依法及时处理。</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道路旅客运输经营许可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道路运输经营许可证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《中华人民共和国道路运输条例》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设区的市、县级交通运输部门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交通运输</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不再要求申请人提供企业章程，现有营运客车行驶证、车辆技术等级评定结论、客车类型等级评定证明，已聘用或者拟聘用驾驶人员的3年内无重大以上交通责任事故证明等材料。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1.强化部门间信息共享。2.加强社会监督，向社会公开道路旅客运输企业的运输服务质量承诺，依法及时处理投诉举报。3.加强对道路旅客运输活动的监督检查，发现违法违规行为的要依法查处。</w:t>
            </w:r>
          </w:p>
        </w:tc>
      </w:tr>
      <w:tr>
        <w:tblPrEx>
          <w:tblCellMar>
            <w:top w:w="0" w:type="dxa"/>
            <w:left w:w="108" w:type="dxa"/>
            <w:bottom w:w="0" w:type="dxa"/>
            <w:right w:w="108" w:type="dxa"/>
          </w:tblCellMar>
        </w:tblPrEx>
        <w:trPr>
          <w:trHeight w:val="178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危险货物运输经营许可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道路运输经营许可证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《中华人民共和国道路运输条例》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设区的市级交通运输部门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交通运输</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不再要求申请人提供营业执照等材料。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1.强化部门间信息共享，实施跨部门联合监管，强化危险货物道路运输全过程安全管理。2.发挥行业协会自律作用。</w:t>
            </w:r>
          </w:p>
        </w:tc>
      </w:tr>
      <w:tr>
        <w:tblPrEx>
          <w:tblCellMar>
            <w:top w:w="0" w:type="dxa"/>
            <w:left w:w="108" w:type="dxa"/>
            <w:bottom w:w="0" w:type="dxa"/>
            <w:right w:w="108" w:type="dxa"/>
          </w:tblCellMar>
        </w:tblPrEx>
        <w:trPr>
          <w:trHeight w:val="425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放射性物品道路运输经营许可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道路运输经营许可证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《中华人民共和国道路运输条例》</w:t>
            </w:r>
          </w:p>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《放射性物品运输安全管理条例》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设区的市级交通运输部门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交通运输</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不再要求申请人提供营业执照等材料。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1.强化部门间信息共享，实施跨部门联合监管，强化放射性物品道路运输全过程安全管理。2.发挥行业协会自律作用。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出租汽车经营许可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道路运输经营许可证、网络预约出租汽车经营许可证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rPr>
              <w:t>直辖市、设区的市、县级交通运输部门或者人民政府指定的出租汽车行政主管部门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交通运输</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1.开展服务质量信誉考核测评，建立出租汽车经营者信用档案并向社会公开信用记录，对失信主体开展联合惩戒。2.依法及时处理投诉举报。3.发挥行业协会自律作用。</w:t>
            </w:r>
          </w:p>
        </w:tc>
      </w:tr>
      <w:tr>
        <w:tblPrEx>
          <w:tblCellMar>
            <w:top w:w="0" w:type="dxa"/>
            <w:left w:w="108" w:type="dxa"/>
            <w:bottom w:w="0" w:type="dxa"/>
            <w:right w:w="108" w:type="dxa"/>
          </w:tblCellMar>
        </w:tblPrEx>
        <w:trPr>
          <w:trHeight w:val="390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出租汽车车辆运营证核发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道路运输证、网络预约出租汽车运输证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rPr>
              <w:t>直辖市、设区的市、县级交通运输部门或者人民政府指定的出租汽车行政主管部门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交通运输</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对开展出租汽车技术等级评定的地区，不再要求申请人提供技术等级评定相关材料，直接向检测机构获取车辆技术等级评定信息。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1.开展服务质量信誉考核测评，建立出租汽车经营者信用档案并向社会公开信用记录，对失信主体开展联合惩戒。2.依法及时处理投诉举报。3.发挥行业协会自律作用。</w:t>
            </w:r>
          </w:p>
        </w:tc>
      </w:tr>
      <w:tr>
        <w:tblPrEx>
          <w:tblCellMar>
            <w:top w:w="0" w:type="dxa"/>
            <w:left w:w="108" w:type="dxa"/>
            <w:bottom w:w="0" w:type="dxa"/>
            <w:right w:w="108" w:type="dxa"/>
          </w:tblCellMar>
        </w:tblPrEx>
        <w:trPr>
          <w:trHeight w:val="287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水利部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河道采砂许可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河道采砂许可证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《中华人民共和国水法》</w:t>
            </w:r>
          </w:p>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《中华人民共和国河道管理条例》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有关流域管理机构；县级以上地方水利部门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lang w:eastAsia="zh-CN"/>
              </w:rPr>
            </w:pPr>
            <w:r>
              <w:rPr>
                <w:rFonts w:hint="eastAsia" w:ascii="仿宋_GB2312" w:hAnsi="仿宋_GB2312" w:eastAsia="仿宋_GB2312" w:cs="仿宋_GB2312"/>
                <w:sz w:val="21"/>
                <w:lang w:eastAsia="zh-CN"/>
              </w:rPr>
              <w:t>市水利和湖泊局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加强河道采砂规划编制审批，实行年度采量控制，及时向社会公布可采区、可采期、可采量。2.对公益性采砂减少审批环节，对符合相关工程建设项目程序的，不再同时开展河道采砂行政许可。3.采取灵活的许可实施方式，各地可结合实际，采取招标、统一经营等方式实施许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1.出台河道采砂管理工作的指导意见，明确现场监管要求。2.开展“双随机、一公开”监管和“四不两直”暗访，加强对采砂情况的监督检查。3.加强信用监管，完善河道采砂业主黑名单制度，采取限制惩戒措施。</w:t>
            </w:r>
          </w:p>
        </w:tc>
      </w:tr>
      <w:tr>
        <w:tblPrEx>
          <w:tblCellMar>
            <w:top w:w="0" w:type="dxa"/>
            <w:left w:w="108" w:type="dxa"/>
            <w:bottom w:w="0" w:type="dxa"/>
            <w:right w:w="108" w:type="dxa"/>
          </w:tblCellMar>
        </w:tblPrEx>
        <w:trPr>
          <w:trHeight w:val="516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水利部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长江河道采砂许可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长江河道采砂许可证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《中华人民共和国水法》</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《长江河道采砂管理条例》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长江水利委员会；县级以上地方水利部门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市水利和湖泊局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加强长江河道采砂规划编制审批，实行年度采量控制，及时向社会公布可采区、可采期、可采量。2.对公益性采砂减少审批环节，对符合相关工程建设项目程序的，不再同时开展长江河道采砂行政许可。3.采取灵活的许可实施方式，各地可结合实际，采取招标、统一经营等方式实施许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和“四不两直”暗访，加强对采砂情况的监督检查。2.对重点江段、敏感水域实现24小时视频监控。3.实行采运管理单制度，加强采砂现场及运输环节监管。4.加强信用监管，完善河道采砂业主黑名单制度，采取限制惩戒措施。</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水利部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取水许可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取水许可证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《中华人民共和国水法》</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《取水许可和水资源费征收管理条例》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流域管理机构；县级以上地方水利部门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市水利和湖泊局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推进区域规划水资源论证，明确区域用水总量管控目标、存量及准入条件，每半年公布存量情况和申请企业排序情况。2.按国务院统一部署，推广取水许可电子许可证，实现申请、审批全程网上办理。3.简化优化建设项目水资源论证管理要求，实行报告表、报告书分类管理，对取水量较小、用水工艺简单且取退水影响小的项目推行报告表管理。4.简化技术审查环节，细化明确报告书技术审查标准，报告书技术审查时限由30个工作日压减至20个工作日。对报告表实行备案承诺制，不再组织技术审查，由水利部门直接审核。</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取水单位和个人取用水、有关技术单位编制报告中存在违法行为的，要依法查处并向社会公开。2.加强信用监管，将取水单位和个人的相关违法信息纳入社会征信体系，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生鲜乳收购站许可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生鲜乳收购许可证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《乳品质量安全监督管理条例》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rPr>
              <w:t>县级农业农村（畜牧兽医）部门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农业农村</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将审批时限由20个工作日压减至10个工作日。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1.开展“双随机、一公开”监管，发现违法违规行为的要依法查处并公开结果。2.加强对生鲜乳收购站的监管，将其全部纳入监管监测信息系统，实时掌握收购、运营情况。</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农作物种子、食用菌菌种生产经营许可证核发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农作物种子、食用菌菌种生产经营许可证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《中华人民共和国种子法》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农业农村</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1.实现申请、审批网上办理。2.不再要求申请人提供营业执照、法定代表人身份证等材料，通过部门间信息共享获取相关信息。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1.开展“双随机、一公开”监管，根据风险程度，合理确定抽查比例，对风险等级高的领域、投诉举报多的企业实施重点监管。2.强化社会监督，依法及时处理举报、投诉问题，调查处理结果向社会公开。</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种畜禽生产经营许可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种畜禽生产经营许可证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《中华人民共和国畜牧法》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农业农村</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1.开展“双随机、一公开”监管，根据风险程度，合理确定抽查比例，对风险等级高的领域、投诉举报多的企业实施重点监管。2.强化社会监督，依法及时处理投诉举报，调查处理结果向社会公开。</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蜂种生产经营许可证核发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蜂种生产经营许可证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《中华人民共和国畜牧法》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rPr>
              <w:t>县级以上地方农业农村部门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农业农村</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1.开展“双随机、一公开”监管，根据风险程度，合理确定抽查比例，对风险等级高的领域、投诉举报多的企业实施重点监管。2.强化社会监督，依法及时处理投诉举报，调查处理结果向社会公开。</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蚕种生产经营许可证核发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蚕种生产经营许可证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《中华人民共和国畜牧法》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rPr>
              <w:t>县级以上地方农业农村部门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农业农村</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1.强化社会监督，依法及时处理投诉举报，调查处理结果向社会公开。</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农药经营许可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农药经营许可证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《农药管理条例》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农业农村</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1.实现申请、审批网上办理。2.不再要求申请人同时提供申请材料的纸质文件和电子文档。</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行业监测，畅通投诉举报渠道，将风险隐患、投诉举报较多的企业列入重点监管对象。3.加强信用监管，向社会公布农药经营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动物防疫条件合格证核发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动物防疫条件合格证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《中华人民共和国动物防疫法》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rPr>
              <w:t>县级以上地方农业农村部门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农业农村</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1.实现申请、审批网上办理。2.将审批时限由20个工作日压减至15个工作日。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1.开展“双随机、一公开”监管，发现违法违规行为的要依法查处并公开结果。2.针对行业突出问题和重大风险点，开展安全风险预警监测，及时发现隐患并处置。3.强化社会监督，依法及时处理投诉举报。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生猪定点屠宰厂（场）设置审查</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生猪定点屠宰证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《生猪屠宰管理条例》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设区的市级人民政府</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农业农村</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不再要求申请人提供动物防疫条件合格证和符合环境保护要求的污染防治设施清单及相关证明材料。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的风险程度、信用水平，科学确定抽查比例。2.强化社会监督，依法及时处理投诉举报。3.加强行业监测，针对发现的普遍性问题和突出风险开展专项行动，确保不发生系统性、区域性风险。</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渔业捕捞许可证审批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渔业捕捞许可证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《中华人民共和国渔业法》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县级以上农业农村（渔业）部门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农业农村</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1.实现全国一网通办。2.对能够通过有关信息系统或者部门间信息共享核查的证明材料，不再要求申请人提供。</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1.开展“双随机、一公开”监管，发现违法违规行为的要依法查处并及时公布查处结果。2.强化社会监督，依法及时处理投诉举报，调查处理结果向社会公开。</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水域滩涂养殖证核发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水域滩涂养殖证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《中华人民共和国渔业法》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县级以上地方人民政府</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农业农村</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1.实现全国一网通办，申请人“最多跑一次”。2.不再要求申请人提供营业执照、法定代表人身份证等材料，通过部门间信息共享获取相关信息。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1.开展“双随机、一公开”监管，发现违法违规行为的要依法查处。2.对风险等级高、投诉举报多的企业实施重点监管。3.依法及时处理投诉举报，处理结果向社会公开并记入企业信用档案。</w:t>
            </w:r>
          </w:p>
        </w:tc>
      </w:tr>
      <w:tr>
        <w:tblPrEx>
          <w:tblCellMar>
            <w:top w:w="0" w:type="dxa"/>
            <w:left w:w="108" w:type="dxa"/>
            <w:bottom w:w="0" w:type="dxa"/>
            <w:right w:w="108" w:type="dxa"/>
          </w:tblCellMar>
        </w:tblPrEx>
        <w:trPr>
          <w:trHeight w:val="266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水产苗种（不含原、良种）生产审批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水产苗种生产许可证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《中华人民共和国渔业法》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设区的市、县级农业农村（渔业）部门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农业农村</w:t>
            </w:r>
            <w:r>
              <w:rPr>
                <w:rFonts w:hint="eastAsia" w:ascii="仿宋_GB2312" w:hAnsi="仿宋_GB2312" w:eastAsia="仿宋_GB2312" w:cs="仿宋_GB2312"/>
                <w:sz w:val="21"/>
                <w:lang w:eastAsia="zh-CN"/>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1.实现全国一网通办，申请人“最多跑一次”。2.不再要求申请人提供营业执照、法定代表人身份证等材料，通过部门间信息共享获取相关信息。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1.开展“双随机、一公开”监管，发现违法违规行为的要依法查处。2.对风险等级高、投诉举报多的企业实施重点监管。3.依法及时处理投诉举报，处理结果向社会公开并记入企业信用档案。</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FF0000"/>
                <w:sz w:val="21"/>
              </w:rPr>
              <w:t>商务部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FF0000"/>
                <w:sz w:val="21"/>
              </w:rPr>
              <w:t>成品油零售经营资格审批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FF0000"/>
                <w:sz w:val="21"/>
              </w:rPr>
              <w:t>成品油零售经营批准证书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FF0000"/>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地市级人民政府指定部门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lang w:eastAsia="zh-CN"/>
              </w:rPr>
            </w:pPr>
            <w:r>
              <w:rPr>
                <w:rFonts w:hint="eastAsia" w:ascii="仿宋_GB2312" w:hAnsi="仿宋_GB2312" w:eastAsia="仿宋_GB2312" w:cs="仿宋_GB2312"/>
                <w:sz w:val="21"/>
                <w:lang w:eastAsia="zh-CN"/>
              </w:rPr>
              <w:t>市商务局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color w:val="FF0000"/>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color w:val="FF0000"/>
                <w:sz w:val="21"/>
              </w:rPr>
              <w:t>1.暂时调整适用《国务院对确需保留的行政审批项目设定行政许可的决定》中关于审批权限的规定，将审批权限由省级商务部门下放至设区的市级人民政府。2.取消申请企业提交成品油供应渠道法律文件相关要求。3.依据国务院《关于加快发展流通促进商业消费的意见》（国办发﹝2019﹞42号），成品油零售经营资格审批下放至地市级人民政府。</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color w:val="FF0000"/>
                <w:sz w:val="21"/>
              </w:rPr>
              <w:t>1.严格做好成品油零售企业年度检查，重点关注企业经营中质量、计量、消防、安全、环保等方面情况。2.配合有关部门做好安全生产管理工作，组织开展成品油零售经营企业安全管理专项检查。3.完善成品油零售经营主体和零售网点信息系统，指导企业做好信息报送和变更。4.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商务部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对外劳务合作经营资格核准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对外劳务合作经营资格证书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《中华人民共和国对外贸易法》</w:t>
            </w:r>
          </w:p>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《对外劳务合作管理条例》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省、设区的市级商务部门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市商务局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1.开展“双随机、一公开”监管，发现违法违规行为的要依法查处并公开结果。2.支持行业协会发挥自律作用。</w:t>
            </w:r>
          </w:p>
        </w:tc>
      </w:tr>
      <w:tr>
        <w:tblPrEx>
          <w:tblCellMar>
            <w:top w:w="0" w:type="dxa"/>
            <w:left w:w="108" w:type="dxa"/>
            <w:bottom w:w="0" w:type="dxa"/>
            <w:right w:w="108" w:type="dxa"/>
          </w:tblCellMar>
        </w:tblPrEx>
        <w:trPr>
          <w:trHeight w:val="294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互联网上网服务营业场所经营单位（含港、澳投资）设立审批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网络文化经营许可证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《互联网上网服务营业场所管理条例》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lang w:eastAsia="zh-CN"/>
              </w:rPr>
            </w:pPr>
            <w:r>
              <w:rPr>
                <w:rFonts w:hint="eastAsia" w:ascii="仿宋_GB2312" w:hAnsi="仿宋_GB2312" w:eastAsia="仿宋_GB2312" w:cs="仿宋_GB2312"/>
                <w:sz w:val="21"/>
                <w:lang w:eastAsia="zh-CN"/>
              </w:rPr>
              <w:t>市文化和旅游局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1.取消总量限制和布局要求。2.取消对互联网上网服务营业场所的计算机数量限制。3.不再要求申请人提供资金信用证明等材料。4.将审批时限由20个工作日压减至13个工作日。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游艺娱乐场所设立审批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娱乐经营许可证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《娱乐场所管理条例》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市文化和旅游局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1.取消总量限制和布局要求。2.将审批时限由20个工作日压减至13个工作日。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歌舞娱乐场所设立审批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娱乐经营许可证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《娱乐场所管理条例》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市文化和旅游局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中外合资经营、中外合作经营的娱乐场所设立审批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娱乐经营许可证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《娱乐场所管理条例》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市文化和旅游局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1.开展“双随机、一公开”监管，发现违法违规行为的要依法查处。2.加强信用监管，对失信主体开展联合惩戒。</w:t>
            </w:r>
          </w:p>
        </w:tc>
      </w:tr>
      <w:tr>
        <w:tblPrEx>
          <w:tblCellMar>
            <w:top w:w="0" w:type="dxa"/>
            <w:left w:w="108" w:type="dxa"/>
            <w:bottom w:w="0" w:type="dxa"/>
            <w:right w:w="108" w:type="dxa"/>
          </w:tblCellMar>
        </w:tblPrEx>
        <w:trPr>
          <w:trHeight w:val="211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经营性互联网文化单位设立审批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网络文化经营许可证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市文化和旅游局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1.实现申请、审批全程网上办理。2.将审批时限由20个工作日压减至13个工作日。3.网上公布审批程序、受理条件、办理标准，公开办理进度。</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演出经纪机构设立审批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营业性演出许可证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《营业性演出管理条例》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市文化和旅游局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1.实现申请、审批全程网上办理。2.将审批时限由20个工作日压减至13个工作日。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文艺表演团体设立审批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营业性演出许可证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《营业性演出管理条例》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市文化和旅游局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1.实现申请、审批全程网上办理。2.将审批时限由20个工作日压减至13个工作日。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饮用水供水单位卫生许可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卫生许可证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《中华人民共和国传染病防治法》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设区的市、县级卫生健康部门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市卫健委</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不再要求申请人提供从业人员健康体检合格证明。</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1.开展“双随机、一公开”监管，发现违法违规行为的要依法查处并公开结果。2．加强信用监管，向社会公布饮用水供水单位信用状况，对失信主体开展联合惩戒。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放射源诊疗技术和医用辐射机构许可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放射诊疗许可证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《中华人民共和国职业病防治法》</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rPr>
              <w:t>《放射性同位素与射线装置安全和防护条例》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市卫健委</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将审批时限由20个工作日压减至10个工作日。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计划生育技术服务机构设立许可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计划生育技术服务机构执业许可证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《计划生育技术服务管理条例》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市卫健委</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取消计划生育技术服务机构设置审查环节，有关机构直接申请办理执业许可。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1.加强监督管理，发现违法违规行为的要依法查处并公开结果。2.加强信用监管，将计划生育技术服务机构执业状况记入信用记录并向社会公布。3.依法及时处理投诉举报。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母婴保健专项技术服务许可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母婴保健技术服务执业许可证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《中华人民共和国母婴保健法》《中华人民共和国母婴保健法实施办法》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市卫健委</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将母婴保健技术服务执业许可证3年有效期满需重新办理审批手续，改为每3年1次对母婴保健专项技术服务机构进行校验。</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加强母婴保健专项技术质量控制。2.开展“双随机、一公开”监管，发现违法违规行为的要依法查处并公开结果。3.加强信用监管，向社会公布母婴保健专项技术服务机构信用状况。4.依法及时处理投诉举报。5.加强母婴保健专项技术服务行业自律。</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医疗机构（不含诊所）设置审批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设置医疗机构批准书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《医疗机构管理条例》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市卫健委</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按照国务院卫生健康部门的规定，对部分医疗机构取消设置审批环节，将其整合至执业登记环节一并办理。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1.对医疗机构开展定期校验，加强对医疗机构执业活动的监管，发现违法违规行为的要依法查处并公开结果。2.组织开展医疗机构评审。3.依法及时处理投诉举报。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医疗机构（不含诊所）执业登记</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医疗机构执业许可证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《医疗机构管理条例》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市卫健委</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1.取消医疗机构验资证明。2.实现医疗机构电子化注册登记。</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1.对医疗机构开展定期校验，加强对医疗机构执业活动的监管，发现违法违规行为的要依法查处并公开结果。2.组织开展医疗机构评审。3.依法及时处理投诉举报。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麻醉药品和第一类精神药品购用许可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麻醉药品和第一类精神药品购用印鉴卡</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《麻醉药品和精神药品管理条例》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设区的市级卫生健康部门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市卫健委</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不再要求申请人提供医疗机构执业许可证副本复印件。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对麻醉药品和精神药品采购、处方开具、临床合理使用、回收、销毁等各项规定，发现问题的及时依法处理。2.实时统计和跟踪药品使用情况，掌握印鉴卡管理状态，实现麻醉药品和精神药品全程闭环管理。</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烟花爆竹经营（批发）许可证核发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烟花爆竹经营（批发）许可证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《烟花爆竹安全管理条例》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设区的市级应急管理部门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lang w:eastAsia="zh-CN"/>
              </w:rPr>
            </w:pPr>
            <w:r>
              <w:rPr>
                <w:rFonts w:hint="eastAsia" w:ascii="仿宋_GB2312" w:hAnsi="仿宋_GB2312" w:eastAsia="仿宋_GB2312" w:cs="仿宋_GB2312"/>
                <w:sz w:val="21"/>
                <w:lang w:eastAsia="zh-CN"/>
              </w:rPr>
              <w:t>市应急管理局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1.实现申请、审批全程网上办理。2.将审批时限由30个工作日压减至20个工作日。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1.开展“双随机、一公开”监管，发现违法违规行为的依法严查重处并公开结果。2.加强信用监管，向社会公布烟花爆竹经营（批发）企业信用状况，对失信主体开展联合惩戒。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烟花爆竹经营（零售）许可证核发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烟花爆竹经营（零售）许可证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《烟花爆竹安全管理条例》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县级应急管理部门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市应急管理局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1.实现申请、审批全程网上办理。2.将审批时限由20个工作日压减至15个工作日。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1.开展“双随机、一公开”监管，发现违法违规行为的依法严查重处并公开结果。2.加强信用监管，向社会公布烟花爆竹经营（零售）企业信用状况，对失信主体开展联合惩戒。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危险化学品生产企业安全生产许可证核发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安全生产许可证（危险化学品）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《危险化学品安全管理条例》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应急管理部；省、设区的市级应急管理部门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市应急管理局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1.实现申请、审批全程网上办理。2.将审批时限由45个工作日压减至30个工作日。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1.开展“双随机、一公开”监管，发现违法违规行为的依法严查重处并公开结果。2.加强信用监管，向社会公布危险化学品生产企业信用状况，对失信主体开展联合惩戒。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危险化学品经营许可证核发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危险化学品经营许可证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《危险化学品安全管理条例》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设区的市、县级应急管理部门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市应急管理局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1.实现申请、审批全程网上办理。2.将审批时限由30个工作日压减至20个工作日。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1.开展“双随机、一公开”监管，发现违法违规行为的依法严查重处并公开结果。2.加强信用监管，向社会公布危险化学品经营企业信用状况，对失信主体开展联合惩戒。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危险化学品安全使用许可证核发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危险化学品安全使用许可证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《危险化学品安全管理条例》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设区的市级应急管理部门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市应急管理局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1.实现申请、审批全程网上办理。2.将审批时限由45个工作日压减至30个工作日。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1.开展“双随机、一公开”监管，发现违法违规行为的依法严查重处并公开结果。2.加强信用监管，向社会公布危险化学品使用企业信用状况，对失信主体开展联合惩戒。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rPr>
              <w:t>新建、改建、扩建生产、储存危险化学品（包括使用长输管道输送危险化学品）建设项目安全条件审查</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危险化学品建设项目安全条件审查意见书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《危险化学品安全管理条例》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应急管理部；省、设区的市级应急管理部门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市应急管理局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1.实现申请、审批全程网上办理。2.将审批时限由45个工作日压减至30个工作日。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1.开展“双随机、一公开”监管，发现违法违规行为的依法严查重处并公开结果。2.加强信用监管，对失信主体开展联合惩戒。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广告发布登记</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关于准予广告发布登记的通知书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《中华人民共和国广告法》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县级以上地方市场监管部门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市场监管局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1.推动实现广告发布登记申请、审批等全程网上办理。2.不再要求申请人提供广告业务机构证明文件及负责人任命文件、广告从业人员和广告审查人员证明文件、场所使用证明等材料。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1.加大广告监测力度，发现广告发布机构发布虚假违法广告的要依法查处。2.加强协同监管，进一步发挥整治虚假违法广告部际联席会议作用，联合有关部门共同做好广告发布机构的监管工作。</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承担国家法定计量检定机构任务授权</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计量授权证书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《中华人民共和国计量法》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县级以上市场监管部门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市场监管局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rPr>
              <w:t>1.实现申请、审批全程网上办理，并将审批信息统一归集至有关数据平台。2.取消计量标准考核证书、计量检定或校准人员能力证明等申请材料。3.对变更法定代表人、授权签字人或计量规程等无需现场审查的事项，由法定计量检定机构自愿承诺符合相关要求，审批部门对承诺内容进行形式审查后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对通过投诉举报等渠道反映问题多的机构实施重点监管。3.加强信用监管，向社会公布法定计量检定机构信用状况，对失信主体开展联合惩戒。</w:t>
            </w:r>
          </w:p>
          <w:p>
            <w:pPr>
              <w:spacing w:line="280" w:lineRule="exact"/>
              <w:ind w:firstLine="0" w:firstLineChars="0"/>
              <w:jc w:val="both"/>
              <w:rPr>
                <w:rFonts w:hint="eastAsia" w:ascii="仿宋_GB2312" w:hAnsi="仿宋_GB2312" w:eastAsia="仿宋_GB2312" w:cs="仿宋_GB2312"/>
                <w:sz w:val="21"/>
              </w:rPr>
            </w:pP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食品经营许可（除仅销售预包装食品外）</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食品经营许可证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《中华人民共和国食品安全法》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县级以上地方市场监管部门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市场监管局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1.餐饮服务经营者销售预包装食品的，不需要申请在许可证上标注销售类食品经营项目。2.不再要求申请人提供营业执照复印件等材料。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标准，开展“双随机、一公开”监管，发挥网格化管理的优势，发现违法违规行为的要依法严查重处并公开结果。2.加强信用监管，向社会公布食品经营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食品生产许可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食品生产许可证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《中华人民共和国食品安全法》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县级以上地方市场监管部门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市场监管局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rPr>
              <w:t>1.除特殊食品（包括保健食品、婴幼儿配方食品和特殊医学用途配方食品）外，将审批权限由省级市场监管部门下放至市、县级市场监管部门。2.实现申请、审批全程网上办理。3.不再要求申请人提供营业执照、食品安全管理制度文本等材料。4.将审批时限由20个工作日压减至10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1.严格执行有关法律法规和标准，开展“双随机、一公开”监管，发现违法违规行为的要依法严查重处并公开结果。2.加强信用监管，向社会公布食品生产企业信用状况，对失信主体开展联合惩戒。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食品添加剂生产许可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食品生产许可证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《中华人民共和国食品安全法》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县级以上地方市场监管部门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市场监管局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1.实现申请、审批全程网上办理。2.将审批时限由20个工作日压减至10个工作日。3.不再要求申请人提供营业执照、食品安全管理制度文本等材料。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标准，对食品添加剂生产企业加强监管。2.开展“双随机、一公开”监管，发现违法违规行为的要依法严查重处并公开结果。3.加强信用监管，向社会公布食品添加剂生产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体育总局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经营高危险性体育项目许可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经营高危险性体育项目许可证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《全民健身条例》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县级以上地方体育部门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lang w:eastAsia="zh-CN"/>
              </w:rPr>
            </w:pPr>
            <w:r>
              <w:rPr>
                <w:rFonts w:hint="eastAsia" w:ascii="仿宋_GB2312" w:hAnsi="仿宋_GB2312" w:eastAsia="仿宋_GB2312" w:cs="仿宋_GB2312"/>
                <w:sz w:val="21"/>
                <w:lang w:eastAsia="zh-CN"/>
              </w:rPr>
              <w:t>市文化和旅游局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1.推广全程网上办理，推进体育领域信息数据共享应用。2.将审批时限由20个工作日压减至15个工作日。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体育总局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设立健身气功站点审批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健身气功站点注册证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县级体育部门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市文化和旅游局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1.推广全程网上办理，推进体育领域信息数据共享应用。2.将审批时限由20个工作日压减至15个工作日。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r>
      <w:tr>
        <w:tblPrEx>
          <w:tblCellMar>
            <w:top w:w="0" w:type="dxa"/>
            <w:left w:w="108" w:type="dxa"/>
            <w:bottom w:w="0" w:type="dxa"/>
            <w:right w:w="108" w:type="dxa"/>
          </w:tblCellMar>
        </w:tblPrEx>
        <w:trPr>
          <w:trHeight w:val="408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从事特定印刷品（商标、票据、保密印刷）印刷经营活动企业（不含外资企业）的设立、变更审批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印刷经营许可证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《印刷业管理条例》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设区的市级新闻出版部门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新闻出版局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推动实现申请、审批全程网上办理，并在网上公布审批程序、受理条件、办理标准，公开办理进度。2.精简审批材料，推动在线获取核验营业执照等材料。3.取消“经营包装装潢印刷品印刷业务的企业必须具备2台以上最近10年生产的胶印、凹印、柔印、丝印等及后序加工设备”的规定。4.将审批时限由60个工作日压减至40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1.开展“双随机、一公开”监管，发现违法违规行为的要依法查处并公开结果。2.依法及时处理投诉举报。3.推进部门间信息共享应用。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出版物零售单位（个体工商户除外）设立、变更审批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出版物经营许可证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《出版管理条例》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县级新闻出版部门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新闻出版局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1.开展“双随机、一公开”监管，发现违法违规行为的要依法查处并公开结果。2.依法及时处理投诉举报。3.推进部门间信息共享应用。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中国气象局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升放无人驾驶自由气球、系留气球单位资质认定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升放气球资质证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省、设区的市级气象主管机构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气象局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1.不再要求申请人提供法人证书或营业执照原件。2.实现申请、审批全程网上办理并在网上公布审批程序、受理条件、办理标准。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双随机、一公开”监管、跨部门联合监管等方式，对升放无人驾驶自由气球、系留气球活动实施严格监管，发现违法违规行为的要依法查处并公开结果。2.加强对升放气球行为的法律法规和科普宣传，提高升放单位和社会公众的安全意识。</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国家烟草局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设立烟叶收购站（点）审批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烟草专卖烟叶收购证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《中华人民共和国烟草专卖法实施条例》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设区的市级烟草部门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烟草局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将审批时限由16个工作日压减至8个工作日。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1.开展“双随机、一公开”监管，发现违法违规行为的要依法查处并公开结果。2.根据投诉举报开展重点检查。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国家烟草局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烟草专卖零售许可证核发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烟草专卖零售许可证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《中华人民共和国烟草专卖法》《中华人民共和国烟草专卖法实施条例》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设区的市、县级烟草部门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市</w:t>
            </w:r>
          </w:p>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烟草局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将审批时限由15个工作日压减至8个工作日。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1.开展“双随机、一公开”监管，加强对持证主体合规经营的监管，发现违法违规行为的要依法查处并公开结果。2.取缔无证经营主体。</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国家烟草局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烟草专卖品准运证核发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烟草专卖品准运证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《中华人民共和国烟草专卖法》《中华人民共和国烟草专卖法实施条例》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设区的市级以上烟草部门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w:t>
            </w:r>
            <w:r>
              <w:rPr>
                <w:rFonts w:hint="eastAsia" w:ascii="仿宋_GB2312" w:hAnsi="仿宋_GB2312" w:eastAsia="仿宋_GB2312" w:cs="仿宋_GB2312"/>
                <w:sz w:val="21"/>
              </w:rPr>
              <w:t>烟草局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将审批时限由3个工作日压减至2个工作日。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1.开展“双随机、一公开”监管，加强对持证主体合规运输烟草专卖品的监管，发现违法违规行为的要依法查处并公开结果。2.对无证运输或超量携带烟草专卖品的行为依法进行查处。</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国家林草局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在草原上开展经营性旅游活动审批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草原作业许可证（草原经营性旅游活动）</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《中华人民共和国草原法》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县级以上地方林草部门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szCs w:val="21"/>
              </w:rPr>
              <w:t>市自然资源和规划局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开展“双随机、一公开”监管，在草原征占用行为监管过程中，一并对有关经营性旅游活动进行检查，发现违法违规行为的要依法查处并公开结果。</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药品零售企业许可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药品经营许可证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《中华人民共和国药品管理法》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设区的市、县级药监部门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lang w:eastAsia="zh-CN"/>
              </w:rPr>
              <w:t>市市场监管</w:t>
            </w:r>
            <w:r>
              <w:rPr>
                <w:rFonts w:hint="eastAsia" w:ascii="仿宋_GB2312" w:hAnsi="仿宋_GB2312" w:eastAsia="仿宋_GB2312" w:cs="仿宋_GB2312"/>
                <w:sz w:val="21"/>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不再要求申请人提供营业执照等材料。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1.落实“四个最严”要求，制定年度监管计划，突出监管重点，强化风险控制。2.通过日常监管督促企业不断完善、改进质量管理体系，持续合法合规经营。3.对违法违规行为，依法严厉查处并公开曝光。</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第二类精神药品零售业务审批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批准文件，在药品经营许可证经营范围中注明</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《麻醉药品和精神药品管理条例》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设区的市级药监部门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lang w:eastAsia="zh-CN"/>
              </w:rPr>
              <w:t>市市场监管</w:t>
            </w:r>
            <w:r>
              <w:rPr>
                <w:rFonts w:hint="eastAsia" w:ascii="仿宋_GB2312" w:hAnsi="仿宋_GB2312" w:eastAsia="仿宋_GB2312" w:cs="仿宋_GB2312"/>
                <w:sz w:val="21"/>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不再要求申请人提供药品经营许可证、药品经营质量管理规范（GSP）证书等材料。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1.严格执行有关法律法规和规章，对特殊药品生产、经营企业加强监管。2.实施重点监管，发现违法违规行为的要依法严查重处。3.及时向社会公开许可信息，加强社会监督。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ind w:left="0" w:firstLine="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第三类医疗器械经营许可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医疗器械经营许可证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《医疗器械监督管理条例》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设区的市级药监部门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lang w:eastAsia="zh-CN"/>
              </w:rPr>
              <w:t>市市场监管</w:t>
            </w:r>
            <w:r>
              <w:rPr>
                <w:rFonts w:hint="eastAsia" w:ascii="仿宋_GB2312" w:hAnsi="仿宋_GB2312" w:eastAsia="仿宋_GB2312" w:cs="仿宋_GB2312"/>
                <w:sz w:val="21"/>
              </w:rPr>
              <w:t>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将审批时限由30个工作日压减至20个工作日。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加大执法检查力度，督促企业严格落实医疗器械经营质量管理规范要求，发现违法违规行为的要依法严查重处。</w:t>
            </w:r>
          </w:p>
        </w:tc>
      </w:tr>
      <w:tr>
        <w:tblPrEx>
          <w:tblCellMar>
            <w:top w:w="0" w:type="dxa"/>
            <w:left w:w="108" w:type="dxa"/>
            <w:bottom w:w="0" w:type="dxa"/>
            <w:right w:w="108" w:type="dxa"/>
          </w:tblCellMar>
        </w:tblPrEx>
        <w:trPr>
          <w:trHeight w:val="537" w:hRule="atLeast"/>
          <w:jc w:val="center"/>
        </w:trPr>
        <w:tc>
          <w:tcPr>
            <w:tcW w:w="14392" w:type="dxa"/>
            <w:gridSpan w:val="1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left"/>
              <w:rPr>
                <w:rFonts w:hint="eastAsia" w:ascii="仿宋_GB2312" w:hAnsi="仿宋_GB2312" w:eastAsia="仿宋_GB2312" w:cs="仿宋_GB2312"/>
                <w:sz w:val="21"/>
              </w:rPr>
            </w:pPr>
            <w:r>
              <w:rPr>
                <w:rFonts w:hint="eastAsia" w:ascii="仿宋_GB2312" w:hAnsi="仿宋_GB2312" w:eastAsia="仿宋_GB2312" w:cs="仿宋_GB2312"/>
                <w:b/>
                <w:sz w:val="21"/>
                <w:szCs w:val="21"/>
                <w:lang w:eastAsia="zh-CN"/>
              </w:rPr>
              <w:t>二</w:t>
            </w:r>
            <w:r>
              <w:rPr>
                <w:rFonts w:hint="eastAsia" w:ascii="仿宋_GB2312" w:hAnsi="仿宋_GB2312" w:eastAsia="仿宋_GB2312" w:cs="仿宋_GB2312"/>
                <w:b/>
                <w:sz w:val="21"/>
                <w:szCs w:val="21"/>
              </w:rPr>
              <w:t>、审批</w:t>
            </w:r>
            <w:r>
              <w:rPr>
                <w:rFonts w:hint="eastAsia" w:ascii="仿宋_GB2312" w:hAnsi="仿宋_GB2312" w:eastAsia="仿宋_GB2312" w:cs="仿宋_GB2312"/>
                <w:b/>
                <w:sz w:val="21"/>
                <w:szCs w:val="21"/>
                <w:lang w:eastAsia="zh-CN"/>
              </w:rPr>
              <w:t>层级为省级</w:t>
            </w:r>
            <w:r>
              <w:rPr>
                <w:rFonts w:hint="eastAsia" w:ascii="仿宋_GB2312" w:hAnsi="仿宋_GB2312" w:eastAsia="仿宋_GB2312" w:cs="仿宋_GB2312"/>
                <w:b/>
                <w:sz w:val="21"/>
                <w:szCs w:val="21"/>
              </w:rPr>
              <w:t>及以</w:t>
            </w:r>
            <w:r>
              <w:rPr>
                <w:rFonts w:hint="eastAsia" w:ascii="仿宋_GB2312" w:hAnsi="仿宋_GB2312" w:eastAsia="仿宋_GB2312" w:cs="仿宋_GB2312"/>
                <w:b/>
                <w:sz w:val="21"/>
                <w:szCs w:val="21"/>
                <w:lang w:eastAsia="zh-CN"/>
              </w:rPr>
              <w:t>上</w:t>
            </w:r>
            <w:r>
              <w:rPr>
                <w:rFonts w:hint="eastAsia" w:ascii="仿宋_GB2312" w:hAnsi="仿宋_GB2312" w:eastAsia="仿宋_GB2312" w:cs="仿宋_GB2312"/>
                <w:b/>
                <w:sz w:val="21"/>
                <w:szCs w:val="21"/>
              </w:rPr>
              <w:t>类</w:t>
            </w:r>
            <w:r>
              <w:rPr>
                <w:rFonts w:hint="eastAsia" w:ascii="仿宋_GB2312" w:hAnsi="仿宋_GB2312" w:eastAsia="仿宋_GB2312" w:cs="仿宋_GB2312"/>
                <w:b/>
                <w:sz w:val="21"/>
                <w:szCs w:val="21"/>
                <w:lang w:eastAsia="zh-CN"/>
              </w:rPr>
              <w:t>（</w:t>
            </w:r>
            <w:r>
              <w:rPr>
                <w:rFonts w:hint="eastAsia" w:ascii="仿宋_GB2312" w:hAnsi="仿宋_GB2312" w:eastAsia="仿宋_GB2312" w:cs="仿宋_GB2312"/>
                <w:b/>
                <w:sz w:val="21"/>
                <w:szCs w:val="21"/>
              </w:rPr>
              <w:t>共</w:t>
            </w:r>
            <w:r>
              <w:rPr>
                <w:rFonts w:hint="eastAsia" w:ascii="仿宋_GB2312" w:hAnsi="仿宋_GB2312" w:eastAsia="仿宋_GB2312" w:cs="仿宋_GB2312"/>
                <w:b/>
                <w:sz w:val="21"/>
                <w:szCs w:val="21"/>
                <w:lang w:val="en-US" w:eastAsia="zh-CN"/>
              </w:rPr>
              <w:t>422</w:t>
            </w:r>
            <w:r>
              <w:rPr>
                <w:rFonts w:hint="eastAsia" w:ascii="仿宋_GB2312" w:hAnsi="仿宋_GB2312" w:eastAsia="仿宋_GB2312" w:cs="仿宋_GB2312"/>
                <w:b/>
                <w:sz w:val="21"/>
                <w:szCs w:val="21"/>
              </w:rPr>
              <w:t>项</w:t>
            </w:r>
            <w:r>
              <w:rPr>
                <w:rFonts w:hint="eastAsia" w:ascii="仿宋_GB2312" w:hAnsi="仿宋_GB2312" w:eastAsia="仿宋_GB2312" w:cs="仿宋_GB2312"/>
                <w:b/>
                <w:sz w:val="21"/>
                <w:szCs w:val="21"/>
                <w:lang w:eastAsia="zh-CN"/>
              </w:rPr>
              <w:t>）</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102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拖拉机驾驶培训学校、驾驶培训班资格认定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拖拉机驾驶培训许可证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《中华人民共和国道路交通安全法》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根据全国人大常委会授权决定，暂时调整适用《中华人民共和国道路交通安全法》关于“拖拉机驾驶培训学校、驾驶培训班”的规定，取消审批。</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加强教练员队伍建设和管理，推动拖拉机培训机构建立培训记录、提高培训水平。2.严把拖拉机驾驶证件考试关口，严肃考试纪律，确保持证人员掌握驾驶技能和道路安全法规知识。3.农业农村部门、公安机关依照法定职责加强对拖拉机的驾驶安全管理，依法查处违规驾驶行为。</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消防技术服务机构资质审批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消防技术服务机构资质证书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《中华人民共和国消防法》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省级消防救援机构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根据全国人大常委会授权决定，暂时调整适用《中华人民共和国消防法》关于“消防技术服务机构资质审批”的规定，取消审批。</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制定消防技术服务机构从业条件和服务标准，引导加强行业自律、规范从业行为、落实主体责任。2.加强对从业行为的监督抽查，对不具备从业条件、弄虚作假等违法违规行为要依法查处。3.对投诉举报多的机构实施重点监管。4.对造成人员死亡或重大社会影响的火灾，倒查中介服务机构主体责任，依法严肃查处。</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工程造价咨询企业甲级资质认定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工程造价咨询企业甲级资质证书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暂时调整适用《国务院对确需保留的行政审批项目设定行政许可的决定》关于“工程造价咨询单位资质认定”的规定，取消审批。同时，各自由贸易试验区所在地设区的市范围内，在政府采购、工程建设项目审批中不得再对工程造价咨询企业提出资质方面要求。</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依法查处违法违规行为并公开结果。2.加强信用监管，完善工程造价咨询企业信用体系，向社会公布企业信用状况，对失信主体加大抽查比例并开展联合惩戒。3.推广应用职业保险制度，增强工程造价咨询企业的风险抵御能力，有效保障委托方合法权益。</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工程造价咨询企业乙级资质认定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工程造价咨询企业乙级资质证书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省级住房城乡建设部门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暂时调整适用《国务院对确需保留的行政审批项目设定行政许可的决定》关于“工程造价咨询单位资质认定”的规定，取消审批。同时，各自由贸易试验区所在地设区的市范围内，在政府采购、工程建设项目审批中不得再对工程造价咨询企业提出资质方面要求。</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依法查处违法违规行为并公开结果。2.加强信用监管，完善工程造价咨询企业信用体系，向社会公布企业信用状况，对失信主体加大抽查比例并开展联合惩戒。3.推广应用职业保险制度，增强工程造价咨询企业的风险抵御能力，有效保障委托方合法权益。</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106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国际客船、散装液体危险品船运输业务经营审批（初审）</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《中华人民共和国国际海运条例》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取消“国际客船、散装液体危险品船运输业务经营审批（初审）”。</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通过交通运输部实施的“国际客船、散装液体危险品船运输业务经营审批”，对原初审审查事项进行审核。2.开展“双随机、一公开”监管，发现违法违规行为的要依法查处并公开结果。3.建立国际船舶运输企业信用档案并向社会公开信用记录，对严重失信主体开展联合惩戒。4.发挥行业协会自律作用。</w:t>
            </w:r>
          </w:p>
        </w:tc>
      </w:tr>
      <w:tr>
        <w:tblPrEx>
          <w:tblCellMar>
            <w:top w:w="0" w:type="dxa"/>
            <w:left w:w="108" w:type="dxa"/>
            <w:bottom w:w="0" w:type="dxa"/>
            <w:right w:w="108" w:type="dxa"/>
          </w:tblCellMar>
        </w:tblPrEx>
        <w:trPr>
          <w:trHeight w:val="325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107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从事大陆与台湾间海上运输业务许可（初审）</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取消“从事大陆与台湾间海上运输业务许可（初审）”。</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通过交通运输部实施的“从事大陆与台湾间海上运输业务许可”，对原初审审查事项进行审核。2.开展“双随机、一公开”监管，发现违法违规行为的要依法查处并公开结果。3.加强信用监管，建立有关海运企业信用档案并向社会公开信用记录，对失信主体开展联合惩戒。4.发挥行业协会自律作用。</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商务部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石油成品油批发经营资格审批（初审）</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省级商务部门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color w:val="FF0000"/>
                <w:sz w:val="21"/>
              </w:rPr>
              <w:t>1.暂时调整适用《国务院对确需保留的行政审批项目设定行政许可的决定》关于“石油成品油批发经营资格审批”的规定，取消审批。2.依据国务院《关于加快发展流通促进商业消费的意见》（国办发﹝2019﹞42号），取消石油成品油批发仓储经营资格审批。</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1.开展“双随机、一公开”监管。2.加强信用监管，向社会公布相关经营主体信用状况，对失信主体开展联合惩戒，对有不良信用记录的经营主体提高检查频次。3.发挥行业协会自律作用。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商务部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石油成品油批发经营资格审批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原油销售经营批准证书、成品油批发经营批准证书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商务部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color w:val="FF0000"/>
                <w:sz w:val="21"/>
              </w:rPr>
            </w:pPr>
            <w:r>
              <w:rPr>
                <w:rFonts w:hint="eastAsia" w:ascii="仿宋_GB2312" w:hAnsi="仿宋_GB2312" w:eastAsia="仿宋_GB2312" w:cs="仿宋_GB2312"/>
                <w:color w:val="FF0000"/>
                <w:sz w:val="21"/>
              </w:rPr>
              <w:t>1.暂时调整适用《国务院对确需保留的行政审批项目设定行政许可的决定》关于“石油成品油批发经营资格审批”的规定，取消审批。2.依据国务院《关于加快发展流通促进商业消费的意见》（国办发﹝2019﹞42号），取消石油成品油批发仓储经营资格审批。</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1.开展“双随机、一公开”监管。2.加强信用监管，向社会公布相关经营主体信用状况，对失信主体开展联合惩戒，对有不良信用记录的经营主体提高检查频次。3.发挥行业协会自律作用。</w:t>
            </w:r>
          </w:p>
        </w:tc>
      </w:tr>
      <w:tr>
        <w:tblPrEx>
          <w:tblCellMar>
            <w:top w:w="0" w:type="dxa"/>
            <w:left w:w="108" w:type="dxa"/>
            <w:bottom w:w="0" w:type="dxa"/>
            <w:right w:w="108" w:type="dxa"/>
          </w:tblCellMar>
        </w:tblPrEx>
        <w:trPr>
          <w:trHeight w:val="296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110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color w:val="FF0000"/>
                <w:sz w:val="21"/>
              </w:rPr>
            </w:pPr>
            <w:r>
              <w:rPr>
                <w:rFonts w:hint="eastAsia" w:ascii="仿宋_GB2312" w:hAnsi="仿宋_GB2312" w:eastAsia="仿宋_GB2312" w:cs="仿宋_GB2312"/>
                <w:color w:val="FF0000"/>
                <w:sz w:val="21"/>
              </w:rPr>
              <w:t>商务部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color w:val="FF0000"/>
                <w:sz w:val="21"/>
              </w:rPr>
            </w:pPr>
            <w:r>
              <w:rPr>
                <w:rFonts w:hint="eastAsia" w:ascii="仿宋_GB2312" w:hAnsi="仿宋_GB2312" w:eastAsia="仿宋_GB2312" w:cs="仿宋_GB2312"/>
                <w:color w:val="FF0000"/>
                <w:sz w:val="21"/>
              </w:rPr>
              <w:t>石油成品油仓储经营资格审批（初审）</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color w:val="FF0000"/>
                <w:sz w:val="21"/>
              </w:rPr>
            </w:pPr>
            <w:r>
              <w:rPr>
                <w:rFonts w:hint="eastAsia" w:ascii="仿宋_GB2312" w:hAnsi="仿宋_GB2312" w:eastAsia="仿宋_GB2312" w:cs="仿宋_GB2312"/>
                <w:color w:val="FF0000"/>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color w:val="FF0000"/>
                <w:sz w:val="21"/>
              </w:rPr>
            </w:pPr>
            <w:r>
              <w:rPr>
                <w:rFonts w:hint="eastAsia" w:ascii="仿宋_GB2312" w:hAnsi="仿宋_GB2312" w:eastAsia="仿宋_GB2312" w:cs="仿宋_GB2312"/>
                <w:color w:val="FF0000"/>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color w:val="FF0000"/>
                <w:sz w:val="21"/>
              </w:rPr>
            </w:pPr>
            <w:r>
              <w:rPr>
                <w:rFonts w:hint="eastAsia" w:ascii="仿宋_GB2312" w:hAnsi="仿宋_GB2312" w:eastAsia="仿宋_GB2312" w:cs="仿宋_GB2312"/>
                <w:color w:val="FF0000"/>
                <w:sz w:val="21"/>
              </w:rPr>
              <w:t>省级商务部门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color w:val="FF0000"/>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color w:val="FF0000"/>
                <w:sz w:val="21"/>
              </w:rPr>
            </w:pPr>
            <w:r>
              <w:rPr>
                <w:rFonts w:hint="eastAsia" w:ascii="仿宋_GB2312" w:hAnsi="仿宋_GB2312" w:eastAsia="仿宋_GB2312" w:cs="仿宋_GB2312"/>
                <w:color w:val="FF0000"/>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color w:val="FF0000"/>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color w:val="FF0000"/>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color w:val="FF0000"/>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color w:val="FF0000"/>
                <w:sz w:val="21"/>
              </w:rPr>
            </w:pPr>
            <w:r>
              <w:rPr>
                <w:rFonts w:hint="eastAsia" w:ascii="仿宋_GB2312" w:hAnsi="仿宋_GB2312" w:eastAsia="仿宋_GB2312" w:cs="仿宋_GB2312"/>
                <w:color w:val="FF0000"/>
                <w:sz w:val="21"/>
              </w:rPr>
              <w:t>1.暂时调整适用《国务院对确需保留的行政审批项目设定行政许可的决定》关于“石油成品油批发经营资格审批”的规定，取消审批。2.依据国务院《关于加快发展流通促进商业消费的意见》（国办发﹝2019﹞42号），取消石油成品油批发仓储经营资格审批。</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color w:val="FF0000"/>
                <w:sz w:val="21"/>
              </w:rPr>
            </w:pPr>
            <w:r>
              <w:rPr>
                <w:rFonts w:hint="eastAsia" w:ascii="仿宋_GB2312" w:hAnsi="仿宋_GB2312" w:eastAsia="仿宋_GB2312" w:cs="仿宋_GB2312"/>
                <w:color w:val="FF0000"/>
                <w:sz w:val="21"/>
              </w:rPr>
              <w:t>1.开展“双随机、一公开”监管。2.加强信用监管，向社会公布相关经营主体信用状况，对失信主体开展联合惩戒，对有不良信用记录的经营主体提高检查频次。3.发挥行业协会自律作用。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111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color w:val="FF0000"/>
                <w:sz w:val="21"/>
              </w:rPr>
            </w:pPr>
            <w:r>
              <w:rPr>
                <w:rFonts w:hint="eastAsia" w:ascii="仿宋_GB2312" w:hAnsi="仿宋_GB2312" w:eastAsia="仿宋_GB2312" w:cs="仿宋_GB2312"/>
                <w:sz w:val="21"/>
              </w:rPr>
              <w:t>商务部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color w:val="FF0000"/>
                <w:sz w:val="21"/>
              </w:rPr>
            </w:pPr>
            <w:r>
              <w:rPr>
                <w:rFonts w:hint="eastAsia" w:ascii="仿宋_GB2312" w:hAnsi="仿宋_GB2312" w:eastAsia="仿宋_GB2312" w:cs="仿宋_GB2312"/>
                <w:sz w:val="21"/>
              </w:rPr>
              <w:t>石油成品油仓储经营资格审批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color w:val="FF0000"/>
                <w:sz w:val="21"/>
              </w:rPr>
            </w:pPr>
            <w:r>
              <w:rPr>
                <w:rFonts w:hint="eastAsia" w:ascii="仿宋_GB2312" w:hAnsi="仿宋_GB2312" w:eastAsia="仿宋_GB2312" w:cs="仿宋_GB2312"/>
                <w:sz w:val="21"/>
              </w:rPr>
              <w:t>原油仓储经营批准证书、成品油仓储经营批准证书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color w:val="FF0000"/>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color w:val="FF0000"/>
                <w:sz w:val="21"/>
              </w:rPr>
            </w:pPr>
            <w:r>
              <w:rPr>
                <w:rFonts w:hint="eastAsia" w:ascii="仿宋_GB2312" w:hAnsi="仿宋_GB2312" w:eastAsia="仿宋_GB2312" w:cs="仿宋_GB2312"/>
                <w:sz w:val="21"/>
              </w:rPr>
              <w:t>商务部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color w:val="FF0000"/>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color w:val="FF0000"/>
                <w:sz w:val="21"/>
              </w:rPr>
            </w:pPr>
            <w:r>
              <w:rPr>
                <w:rFonts w:hint="eastAsia" w:ascii="仿宋_GB2312" w:hAnsi="仿宋_GB2312" w:eastAsia="仿宋_GB2312" w:cs="仿宋_GB2312"/>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color w:val="FF0000"/>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color w:val="FF0000"/>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color w:val="FF0000"/>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color w:val="FF0000"/>
                <w:sz w:val="21"/>
              </w:rPr>
            </w:pPr>
            <w:r>
              <w:rPr>
                <w:rFonts w:hint="eastAsia" w:ascii="仿宋_GB2312" w:hAnsi="仿宋_GB2312" w:eastAsia="仿宋_GB2312" w:cs="仿宋_GB2312"/>
                <w:color w:val="FF0000"/>
                <w:sz w:val="21"/>
              </w:rPr>
              <w:t>1.暂时调整适用《国务院对确需保留的行政审批项目设定行政许可的决定》关于“石油成品油批发经营资格审批”的规定，取消审批。2.依据国务院《关于加快发展流通促进商业消费的意见》（国办发﹝2019﹞42号），取消石油成品油批发仓储经营资格审批。</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color w:val="FF0000"/>
                <w:sz w:val="21"/>
              </w:rPr>
            </w:pPr>
            <w:r>
              <w:rPr>
                <w:rFonts w:hint="eastAsia" w:ascii="仿宋_GB2312" w:hAnsi="仿宋_GB2312" w:eastAsia="仿宋_GB2312" w:cs="仿宋_GB2312"/>
                <w:sz w:val="21"/>
              </w:rPr>
              <w:t>1.开展“双随机、一公开”监管。2.加强信用监管，向社会公布相关经营主体信用状况，对失信主体开展联合惩戒，对有不良信用记录的经营主体提高检查频次。3.发挥行业协会自律作用。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112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从事强制性认证以及相关活动的检查机构指定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《中华人民共和国认证认可条例》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暂时调整适用《中华人民共和国认证认可条例》关于“从事强制性认证以及相关活动的检查机构指定”的规定，取消审批。</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由从事强制性认证活动的认证机构对工厂检查结果及认证结论负责。2.开展“双随机、一公开”监管，发现认证机构或其委托的检查机构在工厂检查过程中存在违法行为或出具虚假检查报告的，依法严肃查处。3.将认证机构和检查机构纳入信用监管范围，向社会公开信用记录，建立工厂检查员黑名单制度。4.督促认可机构加强认可管理。5.发挥行业协会自律作用。</w:t>
            </w:r>
          </w:p>
        </w:tc>
      </w:tr>
      <w:tr>
        <w:tblPrEx>
          <w:tblCellMar>
            <w:top w:w="0" w:type="dxa"/>
            <w:left w:w="108" w:type="dxa"/>
            <w:bottom w:w="0" w:type="dxa"/>
            <w:right w:w="108" w:type="dxa"/>
          </w:tblCellMar>
        </w:tblPrEx>
        <w:trPr>
          <w:trHeight w:val="294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海关总署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报关企业注册登记</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中华人民共和国报关单位注册登记证书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《中华人民共和国海关法》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直属海关或者其授权的隶属海关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根据全国人大常委会授权决定，暂时调整适用《中华人民共和国海关法》关于“报关企业注册登记”的规定，将许可改为备案。改革后，企业开展报关经营活动应持有营业执照并按要求进行备案。同时，将报关企业注册登记纳入“多证合一”范围，在企业登记注册环节一并办理备案手续。</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1.市场监管部门将备案信息推送至海关，海关做好对备案信息的核对工作。2.加强信用监管，综合运用稽查、缉私等方面数据，及时调整企业信用等级。3.加强报关企业年报管理。</w:t>
            </w:r>
          </w:p>
          <w:p>
            <w:pPr>
              <w:spacing w:line="280" w:lineRule="exact"/>
              <w:ind w:firstLine="0"/>
              <w:jc w:val="both"/>
              <w:rPr>
                <w:rFonts w:hint="eastAsia" w:ascii="仿宋_GB2312" w:hAnsi="仿宋_GB2312" w:eastAsia="仿宋_GB2312" w:cs="仿宋_GB2312"/>
              </w:rPr>
            </w:pP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114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海关总署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出口食品生产企业备案核准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出口食品生产企业备案证明</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《中华人民共和国食品安全法》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主管海关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改革后，企业开展生产出口食品的经营活动应持有营业执照并按要求进行备案。</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健全出口食品生产企业备案管理系统，利用通关数据校验有关信息。2.强化海关与市场监管等部门之间的信息共享。3.加强信用监管，多渠道完善信用信息采集。4.通过企业年报、现场检查等方式，对出口食品生产企业实施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社会办医疗机构乙类大型医用设备配置许可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乙类大型医用设备配置许可证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《医疗器械监督管理条例》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暂时调整适用《医疗器械监督管理条例》关于“社会办医疗机构乙类大型医用设备配置许可”的规定，将许可改为备案。改革后，社会办医疗机构配置乙类大型医用设备，应按要求进行备案。</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对有不良信用记录的医疗机构，提高监督检查频次，发现违法违规行为的要依法查处并公开结果。加强对未备案行为的监管。2.加强信用监管，向社会公布有关医疗机构信用状况，对严重失信主体依法实施行业禁入措施。3.发挥行业协会自律作用。</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非经营性通用航空活动登记核准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非经营性通用航空登记证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《中华人民共和国民用航空法》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民航地区管理局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对非经营性通用航空活动实行备案管理。改革后，非经营性通用航空活动主体应按要求向住所地民航地区管理局进行备案。</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rPr>
              <w:t>1.依法开展民用航空器国籍登记证、适航证和电台执照核发、驾驶员资质管理、飞行计划审批、飞行活动信息统计等工作，对非经营性航空活动的实施主体、航空器、驾驶员和飞行活动地点、时间、过程等各环节、各要素实施全面管理，实现对非经营性通用航空活动的持续安全管理。2.对非经营性通用航空活动进行监管，依法查处违法违规行为。3.加强通用航空诚信体系建设，强化对非经营性通用航空活动主体的信用约束。</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民航企业及机场联合、重组和改制审批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准予许可的批复</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民航地区管理局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暂时调整适用《国务院对确需保留的行政审批项目设定行政许可的决定》有关规定，将许可改为备案。改革后，实施联合重组改制行为的民航企业及机场，应按要求向其住所地民航地区管理局进行备案。</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1.开展“双随机、一公开”监管、重点监管和非现场监管，及时处理投诉举报。2.完善民航企业及机场年度报告制度。3.加强信用监管，对因严重失信行为被记入信用记录的企业依法实施联合惩戒。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外商投资经营电信业务（第二类增值电信业务）审批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外商投资经营电信业务审定意见书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《外商投资电信企业管理规定》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工业和信息化部；省级通信管理局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对第二类增值电信业务中外方投资者基本情况及出资比例、申请经营的业务种类等材料实行告知承诺，当场作出审批决定。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1.对以告知承诺方式取得外商投资经营电信业务许可的经营者，加强对其承诺内容真实性的例行核查，发现实际情况与承诺不符的，依法予以处理。2.开展“双随机、一公开”监管，依法查处违法违规行为。</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电信业务（第二类增值电信业务）经营许可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电信业务经营许可证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《中华人民共和国电信条例》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工业和信息化部；省级通信管理局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1.对经营第二类增值电信业务应当具备的法定条件和服务能力（包括主体、人员、场地、设施、信用、安全等）实行告知承诺，当场作出审批决定。2.健全有关管理平台，提升审批服务水平。</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对以告知承诺方式取得许可（包括变更许可范围）的经营者，加强对其承诺内容真实性的例行核查，发现实际情况与承诺不符的，依法予以处理。2.加强对经营者经营行为的监测，督促经营者按照规定报送信息。3.开展“双随机、一公开”监管，按照不同业务类型、信用水平等，合理确定抽查比例。4.对社会关注度高、有不良记录的经营者实施重点监管。5.加强行政执法，对违反电信管理规定的，依法予以查处并公开结果。6.加强信用监管，公布电信业务经营失信名单，对失信主体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120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公安部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保安培训许可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保安培训许可证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《保安服务管理条例》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省级公安机关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1.一次性告知申请人申办保安培训许可证应具备的条件和需提交的材料。申请人承诺符合条件并提交材料的，当场作出审批决定。2.不再要求申请人提供相关人员无故意犯罪记录证明等材料。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加强对承诺内容真实性的核查，发现虚假承诺、承诺严重不实或者申请人未达到法定条件即开展经营活动的要依法处理。2.开展“双随机、一公开”监管或重点监管，及时处理投诉举报，依法查处违法违规行为。3.加强信用监管，建立企业信用档案并向社会公开信用记录，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121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财政部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会计师事务所分支机构设立审批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会计师事务所分所执业证书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《中华人民共和国注册会计师法》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省级财政部门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对设立会计师事务所分支机构应当具备的执业条件（包括会计师事务所持有执业许可、人员和业务规模、近3年未因执业行为受到行政处罚、分支机构人员要求）实行告知承诺，经形式审查后当场作出审批决定。2.2020年底前实现会计师事务所分所执业许可证书电子化。</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对失信主体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122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人力资源社会保障部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经营性中外合作职业技能培训机构设立、分立、合并、变更、终止审批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中外合作办学许可证、内地与港澳台地区合作办学许可证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《中华人民共和国中外合作办学条例》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省级人力资源社会保障部门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对承诺将在规定期限内具备机构负责人、师资和管理人员、经费保障、教学场所和设备、管理制度等条件的，经形式审查后当场作出审批决定。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1.开展“双随机、一公开”监管，发现违法违规行为的要依法查处并公开结果。2.加强信用监管，向社会公布经营性中外合作职业技能培训机构信用状况，对失信主体开展联合惩戒。</w:t>
            </w:r>
          </w:p>
        </w:tc>
      </w:tr>
      <w:tr>
        <w:tblPrEx>
          <w:tblCellMar>
            <w:top w:w="0" w:type="dxa"/>
            <w:left w:w="108" w:type="dxa"/>
            <w:bottom w:w="0" w:type="dxa"/>
            <w:right w:w="108" w:type="dxa"/>
          </w:tblCellMar>
        </w:tblPrEx>
        <w:trPr>
          <w:trHeight w:val="302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123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城乡规划编制单位资质认定（乙级及以下）</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城乡规划编制资质证书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《中华人民共和国城乡规划法》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省级自然资源部门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根据行业发展状况和技术特点，全面梳理现有审批流程。2.实现申请、审批全程网上办理并在网上公布审批程序、受理条件、办理标准。3.对城乡规划编制单位资质（乙级及以下）应当具备的条件和技术能力实行告知承诺，自然资源部门不再进行实质性审查，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对违反上级国土空间规划、未落实约束性指标和刚性管控要求的机构，实施重点监管。3.加强信用监管，向社会公布规划编制企业信用档案，对失信主体开展联合惩戒。4.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124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辐射监测机构资质认定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《中华人民共和国放射性污染防治法》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省级生态环境部门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按照生态环境部统一制定的格式，编制告知承诺书。2.对从事放射性污染监测工作的机构应当具备的检验检测机构资质证书和能够证明符合生态环境监测机构相关要求（包括人员、仪器设备、管理体系、质量控制、技术活动记录等）的材料，实行告知承诺，生态环境部门不再进行审查，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虚假承诺或严重不实的要依法处理。2.建立联合惩戒及信用共享机制，向社会公布监测机构信用状况，对失信主体进行联合惩戒，对严重失信的将违法违规信息纳入全国信用信息共享平台。3.推动企业信息公开，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125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从事放射性污染监测工作的机构资质认定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放射性污染监测资质许可证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《中华人民共和国放射性污染防治法》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按照生态环境部统一制定的格式，编制告知承诺书。2.对从事放射性污染监测工作的机构应当具备的检验检测机构资质证书和能够证明符合生态环境监测机构相关要求（包括人员、仪器设备、管理体系、质量控制、技术活动记录等）的材料，实行告知承诺，生态环境部门不再进行审查，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1.完善放射性监测机构制度管理体系。2.生态环境部门会同有关部门加强对各类放射性监测机构的监督检查。3.推动企业信息公开，加强社会监督。</w:t>
            </w:r>
          </w:p>
        </w:tc>
      </w:tr>
      <w:tr>
        <w:tblPrEx>
          <w:tblCellMar>
            <w:top w:w="0" w:type="dxa"/>
            <w:left w:w="108" w:type="dxa"/>
            <w:bottom w:w="0" w:type="dxa"/>
            <w:right w:w="108" w:type="dxa"/>
          </w:tblCellMar>
        </w:tblPrEx>
        <w:trPr>
          <w:trHeight w:val="238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126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建筑业企业资质认定（建筑工程、市政公用工程施工总承包一级）</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建筑业企业资质证书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《中华人民共和国建筑法》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申请人承诺已经具备许可条件的，经形式审查后当场作出审批决定。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127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工程监理企业资质认定（房屋建筑工程、市政公用工程专业甲级）</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工程监理资质证书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《中华人民共和国建筑法》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申请人承诺已经具备许可条件的，经形式审查后当场作出审批决定。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rPr>
            </w:pPr>
            <w:r>
              <w:rPr>
                <w:rFonts w:hint="eastAsia" w:ascii="仿宋_GB2312" w:hAnsi="仿宋_GB2312" w:eastAsia="仿宋_GB2312" w:cs="仿宋_GB2312"/>
                <w:spacing w:val="-10"/>
                <w:sz w:val="21"/>
                <w:lang w:val="en-US" w:eastAsia="zh-CN"/>
              </w:rPr>
              <w:t>128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建筑业企业资质认定（施工总承包部分二级、部分三级，专业承包部分一级、部分二级、部分三级，特种工程专业承包）</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建筑业企业资质证书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《中华人民共和国建筑法》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省级住房城乡建设部门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申请人承诺已经具备许可条件的，经形式审查后当场作出审批决定。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129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建设工程勘察企业资质认定（乙级及以下、劳务）</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工程勘察资质证书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《中华人民共和国建筑法》</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《建设工程勘察设计管理条例》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省级住房城乡建设部门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申请人承诺已经具备许可条件的，经形式审查后当场作出审批决定。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建设工程设计企业资质认定（部分乙级及以下）</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工程设计资质证书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《中华人民共和国建筑法》</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《建设工程勘察设计管理条例》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省级住房城乡建设部门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申请人承诺已经具备许可条件的，经形式审查后当场作出审批决定。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131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工程监理企业资质认定（专业乙级、丙级资质、事务所）</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工程监理资质证书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《中华人民共和国建筑法》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省级住房城乡建设部门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申请人承诺已经具备许可条件的，经形式审查后当场作出审批决定。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132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建筑施工企业安全生产许可证核发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建筑施工企业安全生产许可证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《安全生产许可证条例》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省级住房城乡建设部门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申请人承诺已经具备许可条件的，经形式审查后当场作出审批决定。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1.发现企业不符合承诺条件开展经营的责令限期整改，逾期不整改或整改后仍达不到要求的依法撤销许可证件。2.对企业安全生产管理不到位造成事故的，加大行政处罚力度。</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133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水运工程监理企业乙级资质认定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交通建设工程监理企业资质等级证书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《建设工程质量管理条例》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对水运工程监理企业取得乙级资质应当具备的条件（包括人员、业绩、设备等）实行告知承诺，经形式审查后当场作出审批决定。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134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水运工程监理企业丙级资质认定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交通建设工程监理企业资质等级证书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《建设工程质量管理条例》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对水运工程监理企业取得丙级资质应当具备的条件（包括人员、业绩、设备等）实行告知承诺，经形式审查后当场作出审批决定。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水运工程监理企业机电专项资质认定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交通建设工程监理企业资质等级证书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《建设工程质量管理条例》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对水运工程监理企业取得机电专项资质应当具备的条件（包括人员、业绩、设备等）实行告知承诺，经形式审查后当场作出审批决定。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136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公路工程专业丙级监理资质认定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交通建设工程监理企业资质等级证书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《中华人民共和国公路法》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对公路工程监理企业取得丙级资质应当具备的条件和技术能力（包括人员、仪器设备等）实行告知承诺，经形式审查后当场作出审批决定。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对通过告知承诺方式取得资质认定的企业，加强对其承诺内容真实性的核查，发现虚假承诺或者承诺严重不实的要依法处理。2.开展“双随机、一公开”监管，发现违法违规行为的要依法查处并公开结果。3.加强“互联网+监管”，强化对企业投标及履约行为的监管。4.加强信用监管，向社会公布公路工程监理企业信用状况，拓展信用评价结果应用范围，实行失信联合惩戒。5.公开企业承诺内容，加强社会监督。6.依法及时处理投诉举报。7.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137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港口（涉及客运和危险货物港口作业的经营项目除外）经营许可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港口经营许可证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《中华人民共和国港口法》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省级交通运输部门或所在地港口部门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1.推动实现申请、审批全程网上办理。2.对企业应当具备的条件和技术能力（包括人员、设施、设备等）实行告知承诺，经形式审查后当场作出审批决定。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1.对不符合承诺条件开展经营的要责令限期整改，逾期不整改或整改后仍达不到要求的，要依法撤销许可证件。2.加强信用监管，建立健全诚信管理制度，及时向社会公布港口企业信用状况。</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水利部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水利工程质量检测单位资质认定（乙级）</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水利工程质量检测单位资质等级证书（乙级）</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省级水利部门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1.按照水利部统一制定的格式，编制告知承诺书。2.对水利工程质量检测单位（乙级）应当具备的条件和技术能力（包括人员、仪器设备、认证参数等）实行告知承诺，发证前不再进行审查，当场作出审批决定。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投诉举报多的单位实施重点监管，加强对企业承诺内容真实性的核查，发现虚假承诺或者承诺严重不实的要依法处理。2.加强信用监管，向社会公布水利工程质量检测单位（乙级）信用状况，对失信主体加大抽查比例并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139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商务部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从事拍卖业务许可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拍卖经营批准证书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《中华人民共和国拍卖法》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省级商务部门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法定代表人证明材料。2.对申请从事拍卖业务应当具备的条件和能力（法人资格、注册资本、固定场所、拟聘任拍卖师和相应管理制度等要求）实行告知承诺，发证前不再进行实质性审查，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1.加强部门间信息共享，统一归集企业信用信息，依法进行公示。2.完善拍卖企业年度核查制度。3.密切与有关部门的联系协调，加强跨部门监管。4.支持行业协会发挥自律作用。</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140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海关总署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口岸卫生许可证（涉及公共场所）核发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国境口岸卫生许可证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《中华人民共和国国境卫生检疫法实施细则》</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主管海关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申请人承诺经营场所选址、内部布局、卫生设施、经营场所内微小气候、从业人员合格证明、卫生管理制度及卫生管理人员等已符合许可条件的，经形式审查后当场作出审批决定。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对以告知承诺方式取得许可证的企业，加强对其承诺内容真实性的核查，发现虚假承诺或承诺严重不实的要依法处理。2.开展“双随机、一公开”监管，发现违法违规行为的要依法查处并公开结果。3.对许可证有效期届满延期换证的企业，在日常监管中核查承诺情况。</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141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检验检测机构资质认定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检验检测机构资质认定证书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《中华人民共和国计量法》《中华人民共和国食品安全法》《中华人民共和国计量法实施细则》《中华人民共和国认证认可条例》《医疗器械监督管理条例》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市场监管总局；省级市场监管部门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出台检验检测机构资质认定告知承诺管理办法。2.对检验检测机构应当具备的条件和技术能力（包括人员、设备设施、环境、能力项目等）实行告知承诺，发证前不再进行现场审查，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开展“双随机、一公开”监管，对社会关注度高、风险等级高、投诉举报多的领域实施重点监管。2.对以告知承诺方式取得资质认定的机构，加强对其承诺内容真实性的核查，发现虚假承诺或者承诺严重不实的要依法处理。3.加强信用监管，向社会公布检验检测机构信用状况，对失信主体加大抽查比例并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142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设立认证机构（风险等级低）审批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认证机构批准书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《中华人民共和国认证认可条例》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根据行业发展状况和技术特点，全面梳理修订认证领域目录，按照必要性和最简化原则，对认证领域实施分类管理，对风险等级低的认证领域准入实行告知承诺。2.对认证机构应当具备的条件和技术能力（包括符合第三方要求的法人资格、注册资本、固定场所和必要设施、管理制度、专职认证人员要求）实行告知承诺，经形式审查后当场作出审批决定。3.取消认证机构在登记注册等环节已经提交的申请材料，压减审批材料数量30%以上。</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合理确定抽查比例。2.依法及时处理投诉举报。3.加强对认证行业的监测，针对发现的普遍性问题和突出风险开展专项检查，确保不发生系统性、区域性风险。4.加强信用监管，完善认证领域黑名单制度，建立失信主体联合惩戒制度。</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143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食品相关产品生产许可证核发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食品相关产品生产许可证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《中华人民共和国食品安全法》</w:t>
            </w:r>
          </w:p>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《中华人民共和国工业产品生产许可证管理条例》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省级市场监管部门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根据行业发展状况和技术特点，全面梳理现有审批领域，及时修订食品相关产品生产许可实施细则，明确食品相关产品发证范围。2.对食品相关产品生产企业应当具备的生产条件、检验手段、技术文件、质量管理制度、责任制度、产品检验报告等实行告知承诺，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1.对通过告知承诺取得许可证（包括许可范围变更）的企业开展例行检查，发现虚假承诺或者承诺严重不实的要依法处理。2.对许可有效期届满延期换证的企业，在日常监管中核查承诺情况。</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144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音像制作单位设立、变更审批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音像制品制作许可证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《音像制品管理条例》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省级新闻出版部门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1.明确设立条件、变更项目，公布承诺事项清单。2.对申请人承诺已具备人员、场所、技术设备等方面条件的，经形式审查后当场作出审批决定。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1.开展“双随机、一公开”监管，发现违法违规行为的要依法查处并公开结果。2.依法查处年度核验过程中存在的岗位培训、委托制作、统计制度等方面的违法违规行为。3.对问题企业按期进行通报并列入黑名单。</w:t>
            </w:r>
          </w:p>
        </w:tc>
      </w:tr>
      <w:tr>
        <w:tblPrEx>
          <w:tblCellMar>
            <w:top w:w="0" w:type="dxa"/>
            <w:left w:w="108" w:type="dxa"/>
            <w:bottom w:w="0" w:type="dxa"/>
            <w:right w:w="108" w:type="dxa"/>
          </w:tblCellMar>
        </w:tblPrEx>
        <w:trPr>
          <w:trHeight w:val="326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145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电子出版物制作单位设立、变更审批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电子出版物制作许可证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《音像制品管理条例》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省级新闻出版部门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1.明确设立条件、变更项目，公布承诺事项清单。2.对申请人承诺已具备人员、场所、技术设备等方面条件的，经形式审查后当场作出审批决定。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1.开展“双随机、一公开”监管，发现违法违规行为的要依法查处并公开结果。2.依法查处年度核验过程中存在的岗位培训、委托制作、统计制度等方面的违法违规行为。3.对问题企业按期进行通报并列入黑名单。</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146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国家林草局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国务院规定由国家林草局审批的国家重点保护陆生野生动物人工繁育许可证核发（已制定人工繁育技术标准的物种）</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国家重点保护陆生野生动物人工繁育许可证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《中华人民共和国野生动物保护法》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国家林草局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申请人承诺将在规定期限内具备与繁育目的、种类、发展规模相适应的场所、设施、技术等条件的，经形式审查后当场作出审批决定。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1.严格落实行业标准和规范要求，加大监督检查力度。2.加强信用监管，对失信主体开展联合惩戒。3.组织开展行业培训。4.发挥行业协会自律作用。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147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国家林草局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权限内国家重点保护陆生野生动物人工繁育许可证核发（已制定人工繁育技术标准的物种和列入人工繁育国家重点保护陆生野生动物目录的物种）</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国家重点保护陆生野生动物人工繁育许可证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《中华人民共和国野生动物保护法》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省级林草部门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申请人承诺将在规定期限内具备与繁育目的、种类、发展规模相适应的场所、设施、技术等条件的，经形式审查后当场作出审批决定。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1.严格落实行业标准和规范要求，加大监督检查力度。2.加强信用监管，对失信主体开展联合惩戒。3.组织开展行业培训。4.发挥行业协会自律作用。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148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药品互联网信息服务审批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互联网药品信息服务资格证书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《互联网信息服务管理办法》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对申请人承诺已经具备相关证明文件、资格证书、管理制度、网络与信息安全保障措施等条件的，经形式审查后当场作出审批决定。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149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医疗器械互联网信息服务审批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互联网药品信息服务资格证书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《互联网信息服务管理办法》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对申请人承诺已经具备相关证明文件、资格证书、管理制度、网络与信息安全保障措施等条件的，经形式审查后当场作出审批决定。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150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医疗机构使用放射性药品（一、二类）许可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放射性药品使用许可证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《放射性药品管理办法》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对医疗机构应当具备的条件和技术能力（包括人员、仪器与设备、房屋设施等）实行告知承诺，发证前不再进行现场检查，经形式审查后当场作出审批决定。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对以告知承诺方式取得许可证的医疗机构，加强对其承诺真实性的核查，发现虚假承诺或承诺严重不实的要依法处理。2.加强药监、卫生健康、生态环境等部门间的协调配合，及时共享医疗机构使用放射性药品信息。3.加强对医疗机构使用放射性药品的日常监管。4.及时向社会公开许可证有关信息，加强社会监督。</w:t>
            </w:r>
          </w:p>
        </w:tc>
      </w:tr>
      <w:tr>
        <w:tblPrEx>
          <w:tblCellMar>
            <w:top w:w="0" w:type="dxa"/>
            <w:left w:w="108" w:type="dxa"/>
            <w:bottom w:w="0" w:type="dxa"/>
            <w:right w:w="108" w:type="dxa"/>
          </w:tblCellMar>
        </w:tblPrEx>
        <w:trPr>
          <w:trHeight w:val="2457"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151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国家知识产权局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专利代理机构执业许可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专利代理机构执业许可证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《专利代理条例》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国家知识产权局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1.修订专利代理审批事项服务指南，增加专利代理机构执业许可实行告知承诺制的相关规定。2.对申请办理专利代理机构执业许可证并作出承诺的，经形式审查后当场作出审批决定。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对以告知承诺方式取得执业许可证的专利代理机构，加强对其承诺内容真实性的核查，发现虚假承诺或者承诺不实的要依法处理。2.开展“双随机、一公开”监管，对通过投诉举报等渠道反映问题多的专利代理机构实施重点监管。3.加强信用监管，向社会公布专利代理机构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152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国家电影局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外商投资电影院设立许可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电影放映经营许可证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《电影管理条例》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省级电影主管部门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1.出台外商投资电影院设立告知承诺管理办法。2.有关单位承诺已具备场所、投资比例限制、合作期限等许可条件的，经形式审查后当场作出审批决定。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畅通投诉举报渠道。2.对以告知承诺方式取得电影放映许可的单位，加强对其承诺内容真实性的核查，发现虚假承诺或者承诺严重不实的要及时依法处理。3.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153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国家人防办</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人民防空工程设计甲级资质审批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人民防空工程建设设计资质证书（甲级资质）</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国家人防办</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1.修订人民防空工程设计行政许可资质管理办法。2.对设计单位应当具备的条件和技术能力（包括符合第三方要求的法人资格、注册资本、资历、人员）实行告知承诺，经形式审查后当场作出审批决定。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154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国家人防办</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人民防空工程设计乙级资质审批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人民防空工程建设设计资质证书（乙级资质）</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省级人防主管部门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1.修订人民防空工程设计行政许可资质管理办法。2.对设计单位应当具备的条件和技术能力（包括符合第三方要求的法人资格、注册资本、资历、人员）实行告知承诺，经形式审查后当场作出审批决定。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155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国家人防办</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人民防空工程监理甲级资质审批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人民防空工程建设监理单位资质等级证书（甲级资质）</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国家人防办</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1.修订人民防空工程监理行政许可资质管理办法。2.对监理单位应当具备的条件和技术能力（包括符合第三方要求的法人资格、注册资本、资历、人员）实行告知承诺，经形式审查后当场作出审批决定。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建立失信主体联合惩戒制度。</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国家人防办</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人民防空工程监理乙级资质审批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人民防空工程建设监理单位资质等级证书（乙级资质）</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省级人防主管部门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1.修订人民防空工程监理行政许可资质管理办法。2.对监理单位应当具备的条件和技术能力（包括符合第三方要求的法人资格、注册资本、资历、人员）实行告知承诺，经形式审查后当场作出审批决定。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建立失信主体联合惩戒制度。</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157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国家人防办</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人民防空工程监理丙级资质审批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人民防空工程建设监理单位资质等级证书（丙级资质）</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省级人防主管部门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1.修订人民防空工程监理行政许可资质管理办法。2.对监理单位应当具备的条件和技术能力（包括符合第三方要求的法人资格、注册资本、资历、人员）实行告知承诺，经形式审查后当场作出审批决定。</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建立失信主体联合惩戒制度。</w:t>
            </w:r>
          </w:p>
        </w:tc>
      </w:tr>
      <w:tr>
        <w:tblPrEx>
          <w:tblCellMar>
            <w:top w:w="0" w:type="dxa"/>
            <w:left w:w="108" w:type="dxa"/>
            <w:bottom w:w="0" w:type="dxa"/>
            <w:right w:w="108" w:type="dxa"/>
          </w:tblCellMar>
        </w:tblPrEx>
        <w:trPr>
          <w:trHeight w:val="349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158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国家林草局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林草种子（进出口）生产经营许可证核发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林草种子生产经营许可证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《中华人民共和国种子法》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国家林草局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根据全国人大常委会授权决定，暂时调整适用《中华人民共和国种子法》关于“林草种子（进出口）生产经营许可证核发”的规定，取消省级林草部门实施的审核，申请人直接向国家林草局提出申请。2.不再要求申请人提供经营场所权属证明、生产用地用途证明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1.开展“双随机、一公开”监管，发现违法违规行为的要依法查处并公开结果。2.加强信用监管，建立企业信用档案并向社会公开，对失信主体开展联合惩戒。3.依法及时处理投诉举报。4.发挥行业协会自律作用。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教育部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实施专科教育的高等学校和其他高等教育机构的设立、分立、合并、变更和终止审批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中华人民共和国民办学校办学许可证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《中华人民共和国民办教育促进法》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省级人民政府或省级教育部门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无违法违规或失信记录，在各学段原有许可证期限基础上延长1年有效期。5.每半年1次公布自由贸易试验区营利性民办学校存量情况。</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r>
      <w:tr>
        <w:tblPrEx>
          <w:tblCellMar>
            <w:top w:w="0" w:type="dxa"/>
            <w:left w:w="108" w:type="dxa"/>
            <w:bottom w:w="0" w:type="dxa"/>
            <w:right w:w="108" w:type="dxa"/>
          </w:tblCellMar>
        </w:tblPrEx>
        <w:trPr>
          <w:trHeight w:val="238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160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科技部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实验动物许可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实验动物生产许可证、实验动物使用许可证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《实验动物管理条例》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省级科技部门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不再要求申请人提供营业执照复印件、工作人员体检证明、特殊工种证件复印件、经办人身份证复印件（含授权委托书）等材料。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1.开展“双随机、一公开”监管，发现违法违规行为的要依法查处并公开结果。2.依法及时处理投诉举报。3.对初次申请的，在现场评估时进行合规性核查。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食盐定点批发企业审批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食盐定点批发企业证书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《食盐专营办法》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省级盐业部门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不再要求申请人提供营业执照复印件等材料。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1.严格执行有关法律法规和标准，对食盐定点批发企业加强监管。2.加强信用监管，向社会公布食盐定点批发企业信用状况，对失信主体开展联合惩戒。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162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食盐定点生产企业审批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食盐定点生产企业证书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《食盐专营办法》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省级盐业部门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1.严格执行有关法律法规和标准，对食盐定点生产企业加强监管。2.加强信用监管，向社会公布食盐定点生产企业信用状况，对失信主体开展联合惩戒。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163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电信业务（基础电信业务）经营许可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电信业务经营许可证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《中华人民共和国电信条例》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工业和信息化部；省级通信管理局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1.加强政务信息共享共用，不再要求申请人提供营业执照、人员身份证明等材料。2.健全有关管理平台，提升审批服务水平。</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公布电信业务经营失信名单，对失信主体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164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电信业务（第一类增值电信业务）经营许可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电信业务经营许可证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《中华人民共和国电信条例》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工业和信息化部；省级通信管理局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1.加强政务信息共享共用，不再要求申请人提供营业执照、人员身份证明等材料。2.健全有关管理平台，提升审批服务水平。</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公布电信业务经营失信名单，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165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试办电信新业务备案核准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备案通知</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《中华人民共和国电信条例》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省级通信管理局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加强信息共享，对申请人在申请电信业务经营许可时已经提供的材料，不再要求重复提供。</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加强对经营者经营行为的监测，督促经营者按照规定报送信息。2.开展“双随机、一公开”监管，根据风险程度、信用水平等，合理确定抽查比例。3.加强行政执法，对违反电信管理规定的，依法查处并公开结果。</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166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外商投资经营电信业务（基础电信业务）审批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外商投资经营电信业务审定意见书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《外商投资电信企业管理规定》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工业和信息化部；省级通信管理局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1.进一步简化申请表单，优化股东追溯流程，对于二级及以上中方股东不再要求提供相关证明材料，改为申请人作出相关承诺。2.健全有关管理平台，提升审批服务水平。</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开展“双随机、一公开”监管，对外资股东及其比例是否擅自变更、相关资格证明或者文件是否真实有效进行重点检查，发现违法违规行为的要依法查处并公开结果。</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167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外商投资经营电信业务（第一类增值电信业务）审批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外商投资经营电信业务审定意见书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《外商投资电信企业管理规定》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工业和信息化部；省级通信管理局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1.进一步简化申请表单，优化股东追溯流程，对于二级及以上中方股东不再要求提供相关证明材料，改为申请人作出相关承诺。2.健全有关管理平台，提升审批服务水平。</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开展“双随机、一公开”监管，对外资股东及其比例是否擅自变更、相关资格证明或者文件是否真实有效进行重点检查，发现违法违规行为的要依法查处并公开结果。</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168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电子认证服务许可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电子认证服务许可证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《中华人民共和国电子签名法》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1.优化审批流程，将工业和信息化部对申请企业进行审查和征求商务部意见两个环节由串联改为并联。2.将审批时限由45个工作日压减至40个工作日。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1.开展“双随机、一公开”监管，按照不同业务类型、信用水平等，合理确定抽查比例。2.加强信用监管，对失信主体开展联合惩戒。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169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民用爆炸物品生产许可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民用爆炸物品生产许可证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《民用爆炸物品安全管理条例》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将审批时限由45个工作日压减至30个工作日。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1.开展“双随机、一公开”监管，发现违法违规行为的要依法依规查处并公开结果。2.依法从严查处未经许可生产民用爆炸物品、利用现场混装炸药作业系统非法生产工业炸药的行为。3.及时处理投诉举报。</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170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民用爆炸物品安全生产许可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民用爆炸物品安全生产许可证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《安全生产许可证条例》</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《民用爆炸物品安全管理条例》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省级民用爆炸物品行业主管部门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将审批时限由45个工作日压减至30个工作日。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1.开展“双随机、一公开”监管和民用爆炸物品行业安全生产专项督查，发现违法违规行为的要依法查处并公开结果。2.及时处理投诉举报。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171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民用爆炸物品销售许可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民用爆炸物品销售许可证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《民用爆炸物品安全管理条例》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省级民用爆炸物品行业主管部门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1.取消申请许可时“从事配送业务的必须具备押运员、驾驶员以及符合特定的爆炸物品专用运输车辆”的要求。2.将民用爆炸物品销售许可证年检制度改为年度报告制度。</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1.开展“双随机、一公开”监管，发现违法违规销售民用爆炸物品（包括硝酸铵）行为的要依法查处并公开结果。2.及时处理投诉举报。</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172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非经营性互联网信息服务备案核准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备案号</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《互联网信息服务管理办法》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省级通信管理局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1.开展互联网信息服务备案用户真实身份电子化核验试点，通过人脸识别等技术手段采集确认用户真实身份信息。2.健全有关管理系统，进一步完善网站迁出、备案迁移等业务流程，实现多项业务一次申请。</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督促企业及时更正错误的备案信息，发现违法违规行为的要依法查处并公开结果。2.依法处理投诉举报，对于多次被投诉举报的接入服务企业实施重点监管。3.开展互联网违法违规行为专项治理。4.利用技术手段提高监管有效性，及时处置违法违规互联网应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173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互联网域名根服务器设置及其运行机构和注册管理机构的设立审批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批复</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1.开展“双随机、一公开”监管，发现违法违规行为的要依法查处并公开结果。2.及时处理投诉举报。3.督促企业按照有关要求定期报送信息。4.利用技术手段提高监管有效性，及时处置违法违规行为。</w:t>
            </w:r>
          </w:p>
        </w:tc>
      </w:tr>
      <w:tr>
        <w:tblPrEx>
          <w:tblCellMar>
            <w:top w:w="0" w:type="dxa"/>
            <w:left w:w="108" w:type="dxa"/>
            <w:bottom w:w="0" w:type="dxa"/>
            <w:right w:w="108" w:type="dxa"/>
          </w:tblCellMar>
        </w:tblPrEx>
        <w:trPr>
          <w:trHeight w:val="465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174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设立互联网域名注册服务机构审批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批复</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省级通信管理局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1.开展“双随机、一公开”监管，发现违法违规行为的要依法查处并公开结果。2.及时处理投诉举报。3.督促企业按照有关要求定期报送信息。4.利用技术手段提高监管有效性，及时处置违法违规行为。</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175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道路机动车辆生产企业许可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公告</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《中华人民共和国道路交通安全法》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将产品参数变更扩展由审批改为备案，推行集团化管理和系族车型管理。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1.开展“双随机、一公开”监管，发现违法违规行为的要依法查处并公开结果。2.建立车辆信用信息管理体系，会同有关部门开展联合监管。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176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第二类监控化学品经营许可</w:t>
            </w:r>
          </w:p>
          <w:p>
            <w:pPr>
              <w:spacing w:line="280" w:lineRule="exact"/>
              <w:ind w:firstLine="0" w:firstLineChars="0"/>
              <w:jc w:val="center"/>
              <w:rPr>
                <w:rFonts w:hint="eastAsia" w:ascii="仿宋_GB2312" w:hAnsi="仿宋_GB2312" w:eastAsia="仿宋_GB2312" w:cs="仿宋_GB2312"/>
                <w:sz w:val="21"/>
              </w:rPr>
            </w:pP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第二类监控化学品经营许可证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《中华人民共和国监控化学品管理条例》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省级化学工业主管部门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将审批时限由20个工作日压减至18个工作日。</w:t>
            </w:r>
          </w:p>
          <w:p>
            <w:pPr>
              <w:spacing w:line="280" w:lineRule="exact"/>
              <w:ind w:firstLine="0" w:firstLineChars="0"/>
              <w:jc w:val="both"/>
              <w:rPr>
                <w:rFonts w:hint="eastAsia" w:ascii="仿宋_GB2312" w:hAnsi="仿宋_GB2312" w:eastAsia="仿宋_GB2312" w:cs="仿宋_GB2312"/>
                <w:sz w:val="21"/>
              </w:rPr>
            </w:pP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1.开展“双随机、一公开”监管，依法查处违法违规经营活动并公开结果。2.加强信用监管，对失信主体开展联合惩戒。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177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第二、三类监控化学品和第四类监控化学品中含磷、硫、氟的特定有机化学品生产特别许可（初审）</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《中华人民共和国监控化学品管理条例》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省级化学工业主管部门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不再要求申请人提供车间平面布置图。</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1.开展“双随机、一公开”监管，依法查处违法违规生产活动并公开结果。2.对失信主体开展联合惩戒。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178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第二、三类监控化学品和第四类监控化学品中含磷、硫、氟的特定有机化学品生产特别许可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监控化学品生产特别许可证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《中华人民共和国监控化学品管理条例》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工业和信息化部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不再要求申请人提供车间平面布置图。</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1.开展“双随机、一公开”监管，依法查处违法违规生产活动并公开结果。2.对失信主体开展联合惩戒。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179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公安部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保安服务公司设立许可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保安服务许可证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《保安服务管理条例》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省级公安机关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1.不再要求申请人提供相关人员工作经验证明和无故意犯罪记录证明等材料。2.将审批时限由30个工作日压减至20个工作日。3.制定公布办事指南，推广网上办理。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1.开展“双随机、一公开”监管、重点监管，及时处理投诉举报，依法查处违法违规行为。2.加强信用监管，建立企业信用档案并向社会公开信用记录，对失信主体开展联合惩戒。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180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公安部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营业性射击场的设立审批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《中华人民共和国枪支管理法》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省级公安机关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实行申请、审批全程网上办理。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1.开展“双随机、一公开”监管，依法查处违法违规行为。2.及时处理投诉举报。3.通过有关信息系统对企业上报的数据进行核查。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181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公安部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民用枪支（弹药）制造许可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民用枪支（弹药）制造许可证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《中华人民共和国枪支管理法》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公安部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1.实行申请、审批全程网上办理。2.不再要求申请人提供技术鉴定文件。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1.开展“双随机、一公开”监管，依法查处违法违规行为。2.及时处理投诉举报。3.通过有关信息系统对企业上报的数据进行核查。</w:t>
            </w:r>
          </w:p>
        </w:tc>
      </w:tr>
      <w:tr>
        <w:tblPrEx>
          <w:tblCellMar>
            <w:top w:w="0" w:type="dxa"/>
            <w:left w:w="108" w:type="dxa"/>
            <w:bottom w:w="0" w:type="dxa"/>
            <w:right w:w="108" w:type="dxa"/>
          </w:tblCellMar>
        </w:tblPrEx>
        <w:trPr>
          <w:trHeight w:val="1247"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182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公安部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民用枪支（弹药）配售许可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民用枪支（弹药）配售许可证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《中华人民共和国枪支管理法》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省级公安机关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实行申请、审批全程网上办理。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1.开展“双随机、一公开”监管，依法查处违法违规行为。2.及时处理投诉举报。3.通过有关信息系统对企业上报的数据进行核查。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183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公安部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计算机信息系统安全专用产品销售许可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计算机信息系统安全专用产品销售许可证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《中华人民共和国计算机信息系统安全保护条例》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公安部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1.不再要求申请人提供营业执照、商用密码产品型号证书等材料。2.将审批时限由15个工作日压减至10个工作日。3.实行申请、审批全程网上办理。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每年组织开展信息安全行业产品抽查工作，对产品不合格的企业进行全国通报，并责令其限期整改，对违规生产、销售的企业要依法查处。2.加强对计算机信息系统安全专用产品有关检测机构的监管，依法及时处理投诉举报，发现违法违规行为的要依法查处。</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184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财政部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设立免税场所事项审批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财政部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1.网上公布审批程序、办理依据、申请条件、申请材料等信息。2.不再要求申请人提供特许经营费缴纳情况等材料。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1.建立健全部门间监管协调机制，依据职责分工加强联合监管。2.开展定期或不定期检查，发现违法违规行为的交由有关部门依法查处。</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财政部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会计师事务所设立审批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会计师事务所执业证书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《中华人民共和国注册会计师法》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省级财政部门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1.实现申请、审批全程网上办理。2.将审批时限由30个工作日压减至15个工作日。3.2020年底前实现会计师事务所执业许可证书电子化。</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1.开展“双随机、一公开”监管，并根据会计师事务所受到处罚情况、其他部门移交线索、群众举报等实施重点监管。2.定期对会计师事务所符合执业许可情况开展专项检查。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186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人力资源社会保障部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设立技工学校审批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办学许可证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省级人力资源社会保障部门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1.实现全程网上办理。2.不再要求申请人提供在登记注册等环节已经提交过的材料。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1.开展“双随机、一公开”监管。2.通过检查考核或投诉举报件专查等方式，进行有效监管，发现违法违规行为的要依法查处并公开结果。</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187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人力资源社会保障部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设立技师学院审批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办学许可证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省级人民政府</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1.实现申请网上办理。2.不再要求申请人提供在登记注册等环节已经提交过的材料。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1.开展“双随机、一公开”监管。2.通过检查考核或投诉举报件专查等方式，进行有效监管，发现违法违规行为的要依法查处并公开结果。</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188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人力资源社会保障部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企业年金基金管理机构资格认定、延续认定（国家级）</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企业年金基金管理机构资格证书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人力资源社会保障部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1.每年更新发布存量情况，实时更新基金管理机构及资格变动情况。2.拟新增许可企业时，提前2个月在网上公布受理时间、受理条件、办理标准、本次增加数量等内容。</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年金基金管理合同和养老金产品备案管理，依法依规对年金基金管理机构的市场行为进行日常监管。3.加强“互联网+监管”，通过跨部门联合监管等方式进行有效监管。</w:t>
            </w:r>
          </w:p>
        </w:tc>
      </w:tr>
      <w:tr>
        <w:tblPrEx>
          <w:tblCellMar>
            <w:top w:w="0" w:type="dxa"/>
            <w:left w:w="108" w:type="dxa"/>
            <w:bottom w:w="0" w:type="dxa"/>
            <w:right w:w="108" w:type="dxa"/>
          </w:tblCellMar>
        </w:tblPrEx>
        <w:trPr>
          <w:trHeight w:val="3001"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189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人力资源社会保障部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以技能为主的国外职业资格证书及发证机构资格审核和注册</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人力资源社会保障部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1.暂时调整适用《国务院对确需保留的行政审批项目设定行政许可的决定》中关于审批权限的规定，将审批权限由人力资源社会保障部下放至省级人力资源社会保障部门。2.实现申请、审批全程网上办理。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开展“双随机、一公开”监管，对通过投诉举报等渠道反映问题多的机构实施重点监管，发现违法违规行为的，依法查处并公开结果。</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190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地质灾害危险性评估单位甲级资质审批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地质灾害防治单位资质证书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不再要求申请人提供设立单位批准文件、法定代表人和技术负责人简历、法定代表人任命和聘任文件、技术人员从事地质灾害防治技术工作5年以上证明文件等材料。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191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地质灾害治理工程勘查单位甲级资质审批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地质灾害防治单位资质证书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不再要求申请人提供设立单位批准文件、法定代表人和技术负责人简历、法定代表人任命和聘任文件等材料。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192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地质灾害治理工程设计单位甲级资质审批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地质灾害防治单位资质证书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不再要求申请人提供设立单位批准文件、法定代表人和技术负责人简历、法定代表人任命和聘任文件等材料。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CellMar>
            <w:top w:w="0" w:type="dxa"/>
            <w:left w:w="108" w:type="dxa"/>
            <w:bottom w:w="0" w:type="dxa"/>
            <w:right w:w="108" w:type="dxa"/>
          </w:tblCellMar>
        </w:tblPrEx>
        <w:trPr>
          <w:trHeight w:val="214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193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地质灾害治理工程施工单位甲级资质审批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地质灾害防治单位资质证书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不再要求申请人提供设立单位批准文件、法定代表人和技术负责人简历、法定代表人任命和聘任文件等材料。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194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地质灾害治理工程监理单位甲级资质审批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地质灾害防治单位资质证书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不再要求申请人提供设立单位批准文件、法定代表人和技术负责人简历、法定代表人任命和聘任文件等材料。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195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地质灾害危险性评估单位乙级及以下资质审批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地质灾害防治单位资质证书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省级自然资源部门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地质灾害防治资质申请受理由过去每年只在3月和6月集中申请办理改成随时受理，全程实现不见面网办；不再要求报送材料应当一式三份，只需要提交符合规定格式的电子文档一份；不再要求资质证书遗失的在媒体上声明后方可申请补领，资质证书遗失的，可以向原审批机关申请补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违法违规企业依法查处并公开结果。2.强化信用监管，向社会公布地质灾害防治单位信用状况，推行地质灾害防治单位黑名单制度，对失信主体开展联合惩戒。3.充分发挥行业自律作用。</w:t>
            </w:r>
          </w:p>
        </w:tc>
      </w:tr>
      <w:tr>
        <w:tblPrEx>
          <w:tblCellMar>
            <w:top w:w="0" w:type="dxa"/>
            <w:left w:w="108" w:type="dxa"/>
            <w:bottom w:w="0" w:type="dxa"/>
            <w:right w:w="108" w:type="dxa"/>
          </w:tblCellMar>
        </w:tblPrEx>
        <w:trPr>
          <w:trHeight w:val="356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196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地质灾害治理工程勘查单位乙级及以下资质审批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地质灾害防治单位资质证书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《地质灾害防治条例》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省级自然资源部门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地质灾害防治资质申请受理由过去每年只在3月和6月集中申请办理改成随时受理，全程实现不见面网办；不再要求报送材料应当一式三份，只需要提交符合规定格式的电子文档一份；不再要求资质证书遗失的在媒体上声明后方可申请补领，资质证书遗失的，可以向原审批机关申请补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开展“双随机、一公开”监管，对违法违规企业依法查处并公开结果。2.强化信用监管，向社会公布地质灾害防治单位信用状况，推行地质灾害防治单位黑名单制度，对失信主体开展联合惩戒。3.充分发挥行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197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地质灾害治理工程设计单位乙级及以下资质审批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地质灾害防治单位资质证书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省级自然资源部门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地质灾害防治资质申请受理由过去每年只在3月和6月集中申请办理改成随时受理，全程实现不见面网办；不再要求报送材料应当一式三份，只需要提交符合规定格式的电子文档一份；不再要求资质证书遗失的在媒体上声明后方可申请补领，资质证书遗失的，可以向原审批机关申请补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违法违规企业依法查处并公开结果。2.强化信用监管，向社会公布地质灾害防治单位信用状况，推行地质灾害防治单位黑名单制度，对失信主体开展联合惩戒。3.充分发挥行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198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地质灾害治理工程施工单位乙级及以下资质审批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地质灾害防治单位资质证书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省级自然资源部门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地质灾害防治资质申请受理由过去每年只在3月和6月集中申请办理改成随时受理，全程实现不见面网办；不再要求报送材料应当一式三份，只需要提交符合规定格式的电子文档一份；不再要求资质证书遗失的在媒体上声明后方可申请补领，资质证书遗失的，可以向原审批机关申请补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违法违规企业依法查处并公开结果。2.强化信用监管，向社会公布地质灾害防治单位信用状况，推行地质灾害防治单位黑名单制度，对失信主体开展联合惩戒。3.充分发挥行业自律作用。</w:t>
            </w:r>
          </w:p>
        </w:tc>
      </w:tr>
      <w:tr>
        <w:tblPrEx>
          <w:tblCellMar>
            <w:top w:w="0" w:type="dxa"/>
            <w:left w:w="108" w:type="dxa"/>
            <w:bottom w:w="0" w:type="dxa"/>
            <w:right w:w="108" w:type="dxa"/>
          </w:tblCellMar>
        </w:tblPrEx>
        <w:trPr>
          <w:trHeight w:val="293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199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地质灾害治理工程监理单位乙级及以下资质审批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地质灾害防治单位资质证书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《地质灾害防治条例》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省级自然资源部门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地质灾害防治资质申请受理由过去每年只在3月和6月集中申请办理改成随时受理，全程实现不见面网办；不再要求报送材料应当一式三份，只需要提交符合规定格式的电子文档一份；不再要求资质证书遗失的在媒体上声明后方可申请补领，资质证书遗失的，可以向原审批机关申请补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违法违规企业依法查处并公开结果。2.强化信用监管，向社会公布地质灾害防治单位信用状况，推行地质灾害防治单位黑名单制度，对失信主体开展联合惩戒。3.充分发挥行业自律作用。</w:t>
            </w:r>
          </w:p>
        </w:tc>
      </w:tr>
      <w:tr>
        <w:tblPrEx>
          <w:tblCellMar>
            <w:top w:w="0" w:type="dxa"/>
            <w:left w:w="108" w:type="dxa"/>
            <w:bottom w:w="0" w:type="dxa"/>
            <w:right w:w="108" w:type="dxa"/>
          </w:tblCellMar>
        </w:tblPrEx>
        <w:trPr>
          <w:trHeight w:val="2087"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200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城乡规划编制单位甲级资质认定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城乡规划编制资质证书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《中华人民共和国城乡规划法》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1.修改完善城乡规划编制单位资质管理规定。2.实现申请、审批全程网上办理并在网上公布审批程序、受理条件、办理标准。3.将审批时限由20个工作日压减至15个工作日。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1.开展“双随机、一公开”监管，对违法违规行为要依法查处并公开结果。2.对有投诉举报和质量问题的企业实施重点监管。</w:t>
            </w:r>
          </w:p>
        </w:tc>
      </w:tr>
      <w:tr>
        <w:tblPrEx>
          <w:tblCellMar>
            <w:top w:w="0" w:type="dxa"/>
            <w:left w:w="108" w:type="dxa"/>
            <w:bottom w:w="0" w:type="dxa"/>
            <w:right w:w="108" w:type="dxa"/>
          </w:tblCellMar>
        </w:tblPrEx>
        <w:trPr>
          <w:trHeight w:val="605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201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勘查矿产资源审批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矿产资源勘查许可证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《中华人民共和国矿产资源法》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《中华人民共和国矿产资源法实施细则》</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《矿产资源勘查区块登记管理办法》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《探矿权采矿权转让管理办法》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不再要求申请人提供符合国家限制及政策调控申请条件等材料。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1.开展“双随机、一公开”监管，对违法违规探矿的要依法查处并公开结果。2.利用有关信息系统实现矿业权人勘查开采信息公示等，加强对探矿权人行为的监管。</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探矿权新立、变更、延续、保留和注销登记</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矿产资源勘查许可证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《中华人民共和国矿产资源法》《中华人民共和国矿产资源法实施细则》《矿产资源勘查区块登记管理办法》《探矿权采矿权转让管理办法》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省级自然资源部门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将部分省级审批权限下放至市级自然资源部门。</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1.开展“双随机、一公开”监管，对违法违规探矿的要依法查处并公开结果。2.利用有关信息系统实现矿业权人勘查开采信息公示等，加强对探矿权人行为的监管。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开采矿产资源审批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采矿许可证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《中华人民共和国矿产资源法》《中华人民共和国矿产资源法实施细则》《矿产资源开采登记管理办法》《探矿权采矿权转让管理办法》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不再要求申请人提供符合国家限制及政策调控申请条件等材料。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1.开展“双随机、一公开”监管，对违法违规采矿的要依法查处并公开结果。2.利用有关信息系统实现矿业权人勘查开采信息公示等，加强对采矿权人行为的监管。</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从事测绘活动的单位资质审批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测绘资质证书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《中华人民共和国测绘法》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自然资源部；省级自然资源部门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1.不再要求申请人提供法定代表人简历、任命或聘任文件，测绘仪器检定证书，专业技术人员技术岗位工作年限证明等材料。2.将审批时限由20个工作日压减至15个工作日。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对通过投诉举报等渠道反映问题多的测绘单位实施重点监管。3.加强信用监管，向社会公布测绘单位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深海海底区域资源勘探开发许可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深海海底区域资源勘探证书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《中华人民共和国深海海底区域资源勘探开发法》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自然资源部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优化办事流程，实现申请、审批全程网上办理。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要依法查处并公开结果。2.对通过投诉举报等渠道反映问题多的申请主体实施重点监管。3.强化信用监管，向社会公布深海海底区域资源勘探开发企业信用状况，对失信主体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民用核材料许可证核准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《中华人民共和国核材料管制条例》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1.将生态环境部门和其他有关部门对申请材料的审查从串联办理改为并联办理。2.将审批时限由180天压减至150天。</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1.出台核材料管制相关办法，明确监管规则，加强监管。2.将民用核材料使用单位全面纳入核安全例行监督检查范围，发现违法违规行为的要依法查处并公开结果。</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民用核安全设备设计单位许可证核发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民用核安全设备设计许可证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《中华人民共和国核安全法》《民用核安全设备监督管理条例》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1.实现申请、审批全程网上办理。2.不再要求申请单位提交营业执照、核级焊工焊接操作工资格证书、核级无损检验人员资格证书和计量人员、理化检验人员资格证书复印件等材料。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1.严格执行相关法律法规规定，对违法违规企业依法查处。2.依法及时处理举报、信访问题，调查处理结果向社会公开，对投诉举报和反映质量问题较多的企业实施重点监管。</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民用核安全设备制造单位许可证核发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民用核安全设备制造许可证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《中华人民共和国核安全法》《民用核安全设备监督管理条例》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1.实现申请、审批全程网上办理。2.不再要求申请单位提交营业执照、核级焊工焊接操作工资格证书、核级无损检验人员资格证书和计量人员、理化检验人员资格证书复印件等材料。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1.严格执行相关法律法规规定，对违法违规企业依法查处。2.依法及时处理举报、信访问题，调查处理结果向社会公开，对投诉举报和反映质量问题较多的企业实施重点监管。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民用核安全设备安装单位许可证核发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民用核安全设备安装许可证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《中华人民共和国核安全法》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《民用核安全设备监督管理条例》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1.实现申请、审批全程网上办理。2.不再要求申请单位提交营业执照、核级焊工焊接操作工资格证书、核级无损检验人员资格证书和计量人员、理化检验人员资格证书复印件等材料。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1.严格执行相关法律法规规定，对违法违规企业依法查处。2.依法及时处理举报、信访问题，调查处理结果向社会公开，对投诉举报和反映质量问题较多的企业实施重点监管。</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民用核安全设备无损检验单位许可证核发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民用核安全设备无损检验许可证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《中华人民共和国核安全法》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《民用核安全设备监督管理条例》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1.实现申请、审批全程网上办理。2.不再要求申请单位提交营业执照、核级焊工焊接操作工资格证书、核级无损检验人员资格证书和计量人员、理化检验人员资格证书复印件等材料。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1.严格执行相关法律法规规定，对违法违规企业依法查处。2.依法及时处理举报、信访问题，调查处理结果向社会公开，对投诉举报和反映质量问题较多的企业实施重点监管。</w:t>
            </w:r>
          </w:p>
        </w:tc>
      </w:tr>
      <w:tr>
        <w:tblPrEx>
          <w:tblCellMar>
            <w:top w:w="0" w:type="dxa"/>
            <w:left w:w="108" w:type="dxa"/>
            <w:bottom w:w="0" w:type="dxa"/>
            <w:right w:w="108" w:type="dxa"/>
          </w:tblCellMar>
        </w:tblPrEx>
        <w:trPr>
          <w:trHeight w:val="350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为境内民用核设施进行核安全设备设计、制造、安装和无损检验活动的境外单位注册登记审批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民用核安全设备活动境外单位注册登记确认书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《中华人民共和国核安全法》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《民用核安全设备监督管理条例》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1.实现申请、审批全程网上办理。2.不再要求申请单位提交营业执照、核级焊工焊接操作工资格证书、核级无损检验人员资格证书和计量人员、理化检验人员资格证书复印件等材料。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1.严格执行相关法律法规规定，查处违法违规企业并向社会公开结果。2.依法及时处理举报、信访问题，对投诉举报和反映质量问题较多的企业实施重点监管。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生产放射性同位素（除医疗自用的短半衰期放射性药物外）许可证核发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辐射安全许可证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《中华人民共和国放射性污染防治法》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《放射性同位素与射线装置安全和防护条例》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暂时调整适用《放射性同位素与射线装置安全和防护条例》中关于审批权限的规定，将场所等级属于乙级、丙级的生产放射性同位素单位的审批权限由生态环境部下放至省级生态环境部门。</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制定出台有关技术导则、操作标准、技术程序，进一步规范地方生态环境部门审批及监管工作。2.严格执行有关法律法规和标准，开展“双随机、一公开”监管，发现违法违规问题严格依法处罚并公开结果。3.加强对有关生态环境部门人员的培训，提升监管能力。</w:t>
            </w:r>
          </w:p>
        </w:tc>
      </w:tr>
      <w:tr>
        <w:tblPrEx>
          <w:tblCellMar>
            <w:top w:w="0" w:type="dxa"/>
            <w:left w:w="108" w:type="dxa"/>
            <w:bottom w:w="0" w:type="dxa"/>
            <w:right w:w="108" w:type="dxa"/>
          </w:tblCellMar>
        </w:tblPrEx>
        <w:trPr>
          <w:trHeight w:val="519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销售、使用Ⅰ类放射源（医疗使用Ⅰ类放射源除外）和Ⅰ类射线装置单位的辐射安全许可证核发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辐射安全许可证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《中华人民共和国放射性污染防治法》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《放射性同位素与射线装置安全和防护条例》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不再要求申请人提供生态环境部门批复的环境影响评价文件，改为生态环境部门之间信息共享获取。</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标准，开展“双随机、一公开”监管，发现违法违规问题要严格依法查处并公开结果。2.生态环境部和省级生态环境部门加强信息数据互联互通，方便获取有关信息。3.加强对有关生态环境部门人员的培训，提升监管能力。</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医疗使用Ⅰ类放射源，制备正电子发射计算机断层扫描用放射性药物自用，销售、使用Ⅱ、Ⅲ、Ⅳ、Ⅴ类放射源，生产、销售和使用Ⅱ、Ⅲ类射线装置的单位的辐射安全许可证核发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辐射安全许可证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《中华人民共和国放射性污染防治法》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《放射性同位素与射线装置安全和防护条例》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省级生态环境部门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暂时调整适用《放射性同位素与射线装置安全和防护条例》中关于审批权限的规定，将使用Ⅳ、Ⅴ类放射源和使用Ⅲ类射线装置单位的审批权限由省级生态环境部门下放至设区的市级生态环境部门。</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制定出台有关技术导则、操作标准、技术程序，进一步规范地方生态环境部门审批及监管工作。2.严格执行有关法律法规和标准，开展“双随机、一公开”监管，发现违法违规问题要严格依法查处并公开结果。3.加强对有关生态环境部门人员的培训，提升监管能力。</w:t>
            </w:r>
          </w:p>
        </w:tc>
      </w:tr>
      <w:tr>
        <w:tblPrEx>
          <w:tblCellMar>
            <w:top w:w="0" w:type="dxa"/>
            <w:left w:w="108" w:type="dxa"/>
            <w:bottom w:w="0" w:type="dxa"/>
            <w:right w:w="108" w:type="dxa"/>
          </w:tblCellMar>
        </w:tblPrEx>
        <w:trPr>
          <w:trHeight w:val="243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Ⅰ类放射性物品运输容器制造许可证核发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Ⅰ类放射性物品运输容器制造许可证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《放射性物品运输安全管理条例》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1.实现申请、审批全程网上办理。2.不再要求申请单位提交营业执照、核级焊工焊接操作工资格证书、核级无损检验人员资格证书和计量人员、理化检验人员资格证书复印件等材料。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相关法律法规要求，对持证企业加强监督管理。2.对违法违规企业严格按照有关规定进行处理。3.依法及时处理举报、信访问题，调查处理结果向社会公开，对投诉举报和反映质量问题较多的企业实施重点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设立专门从事放射性固体废物贮存、处置单位许可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放射性固体废物贮存、处置许可证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《中华人民共和国放射性污染防治法》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1.实现申请、审批全程网上办理。2.将放射性固体废物贮存、处置许可证与设施的安全许可审查合并进行，不再要求申请人重复提交材料。3.将审批时限由20个工作日压减至18个工作日。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1.严格按照相关的法律法规和标准开展工作，强化日常监督管理。2.开展“双随机、一公开”监管，对存在违规违法行为的企业依法调查处理并公开结果。3.及时处理举报、投诉或信访案件。</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危险化学品进出口环境管理登记证核发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有毒化学品进（出）口环境管理放行通知单</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《危险化学品安全管理条例》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会同有关部门进一步缩减《中国严格限制的有毒化学品名录》范围，使企业进出口更多种类的危险化学品时不再需要办理进出口环境管理登记证。</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1.开展“双随机、一公开”监管，合理确定抽查比例。2.对失信主体实施重点监管，依法查处违规经营等行为并记入信用记录，通过国家企业信用信息公示系统予以公开。3.依法及时处理投诉举报。</w:t>
            </w:r>
          </w:p>
        </w:tc>
      </w:tr>
      <w:tr>
        <w:tblPrEx>
          <w:tblCellMar>
            <w:top w:w="0" w:type="dxa"/>
            <w:left w:w="108" w:type="dxa"/>
            <w:bottom w:w="0" w:type="dxa"/>
            <w:right w:w="108" w:type="dxa"/>
          </w:tblCellMar>
        </w:tblPrEx>
        <w:trPr>
          <w:trHeight w:val="326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新化学物质环境管理登记证核发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新化学物质环境管理登记证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《危险化学品安全管理条例》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生态环境部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调整新化学物质申报登记所需的毒理学、生态毒理学最低数据要求，减轻企业负担。</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1.开展“双随机、一公开”监管。2.对失信主体强化信用约束，实施重点监管，依法查处违规经营行为并记入信用记录。3.加强行业自律和社会监督。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房地产开发企业一级资质核定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房地产开发企业资质证书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《中华人民共和国城市房地产管理法》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《城市房地产开发经营管理条例》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1.开展“双随机、一公开”监管，依法查处违法违规行为并公开结果。2.加强信用监管，对失信主体开展联合惩戒。3.发挥行业协会自律作用。</w:t>
            </w:r>
          </w:p>
        </w:tc>
      </w:tr>
      <w:tr>
        <w:tblPrEx>
          <w:tblCellMar>
            <w:top w:w="0" w:type="dxa"/>
            <w:left w:w="108" w:type="dxa"/>
            <w:bottom w:w="0" w:type="dxa"/>
            <w:right w:w="108" w:type="dxa"/>
          </w:tblCellMar>
        </w:tblPrEx>
        <w:trPr>
          <w:trHeight w:val="383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建筑业企业资质认定（施工总承包特级、部分一级、部分二级和专业承包部分一级、部分二级）</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建筑业企业资质证书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《中华人民共和国建筑法》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《建设工程安全生产管理条例》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1.实行电子化申报和审批。2.不再要求申请人提供人员身份证明、社保证明、资质资格证书等材料。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建设工程勘察企业资质认定（甲级、海洋勘察甲级、乙级）</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工程勘察资质证书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《中华人民共和国建筑法》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《建设工程勘察设计管理条例》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1.实行电子化申报和审批。2.不再要求申请人提供人员身份证明、社保证明、资质资格证书等材料。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建设工程设计企业资质认定（甲级、部分乙级）</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工程设计资质证书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《中华人民共和国建筑法》</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《建设工程勘察设计管理条例》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1.实行电子化申报和审批。2.不再要求申请人提供人员身份证明、社保证明、资质资格证书等材料。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工程监理企业综合资质认定（综合，除房屋建筑工程、市政公用工程外专业甲级）</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工程监理资质证书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《中华人民共和国建筑法》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1.实行电子化申报和审批。2.不再要求申请人提供人员身份证明、社保证明、资质资格证书等材料。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住房城乡建设部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建设工程质量检测机构资质核准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建设工程质量检测机构资质证书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《建设工程质量管理条例》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省级住房城乡建设部门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1.实行电子化申报和审批。2.不再要求申请人提供人员身份证明、社保证明、资质资格证书等材料。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1.开展“双随机、一公开”监管，依法查处违法违规行为并公开结果。2.加强信用监管，向社会公布建设工程质量检测机构信用状况，对失信主体开展联合惩戒。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公路工程专业甲级监理资质认定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交通建设工程监理企业资质等级证书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《中华人民共和国公路法》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1.实现申请、审批全程网上办理并在网上公布认定条件、办理流程、审查要点，公开办理进度。2.不再要求申请人提供营业执照和业绩证明材料。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公路工程专业乙级监理资质认定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交通建设工程监理企业资质等级证书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《中华人民共和国公路法》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1.实现申请、审批全程网上办理并在网上公布认定条件、办理流程、审查要点，公开办理进度。2.不再要求申请人提供营业执照和业绩证明材料。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tblPrEx>
          <w:tblCellMar>
            <w:top w:w="0" w:type="dxa"/>
            <w:left w:w="108" w:type="dxa"/>
            <w:bottom w:w="0" w:type="dxa"/>
            <w:right w:w="108" w:type="dxa"/>
          </w:tblCellMar>
        </w:tblPrEx>
        <w:trPr>
          <w:trHeight w:val="353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公路工程专业公路机电工程专项监理资质认定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交通建设工程监理企业资质等级证书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《中华人民共和国公路法》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1.实现申请、审批全程网上办理并在网上公布认定条件、办理流程、审查要点，公开办理进度。2.不再要求申请人提供营业执照和业绩证明材料。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公路工程专业特殊独立大桥专项监理资质认定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交通建设工程监理企业资质等级证书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《中华人民共和国公路法》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1.实现申请、审批全程网上办理并在网上公布认定条件、办理流程、审查要点，公开办理进度。2.不再要求申请人提供营业执照和业绩证明材料。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公路工程专业特殊独立隧道专项监理资质认定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交通建设工程监理企业资质等级证书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《中华人民共和国公路法》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1.实现申请、审批全程网上办理并在网上公布认定条件、办理流程、审查要点，公开办理进度。2.不再要求申请人提供营业执照和业绩证明材料。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tblPrEx>
          <w:tblCellMar>
            <w:top w:w="0" w:type="dxa"/>
            <w:left w:w="108" w:type="dxa"/>
            <w:bottom w:w="0" w:type="dxa"/>
            <w:right w:w="108" w:type="dxa"/>
          </w:tblCellMar>
        </w:tblPrEx>
        <w:trPr>
          <w:trHeight w:val="350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230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省际旅客、危险品货物水路运输许可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国内水路运输经营许可证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《国内水路运输管理条例》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实现申请人办理审批“最多跑一次”。3.除需按存档要求由企业提交的证书外，不再要求提供纸质材料。4.不再要求申请人提供营业执照等材料。5.将审批时限由20个工作日压减至10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231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航运公司安全营运与防污染能力符合证明核发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符合证明、船舶安全管理证书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《防治船舶污染海洋环境管理条例》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交通运输部直属海事局、分支海事局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1.开展“双随机、一公开”监管，发现违法违规行为的要依法查处并公开结果。2.加强信用监管，向社会公布航运公司信用状况，对失信主体开展联合惩戒。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232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设立引航机构审批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批复</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1.在网上公布审批条件和办理流程。2.将审批时限由20个工作日压减至15个工作日。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加强信用监管，建立健全诚信管理制度，及时向社会公布引航机构信用状况，对不严格执行引航安全标准规范的引航活动要依法及时处理。</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233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设立验船机构审批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《中华人民共和国船舶和海上设施检验条例》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1.开展“双随机、一公开”监管，发现违法违规行为的要依法查处并公开结果。2.加强信用监管，向社会公布验船机构信用状况，对失信主体开展联合惩戒。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234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国际班轮运输业务经营审批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国际班轮运输经营资格登记证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《中华人民共和国国际海运条例》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1.实现申请、审批全程网上办理，及时完善更新办事指南并在网上公布审批程序、受理条件和办理标准。2.不再要求申请人提供营业执照等材料。3.将审批时限由30个工作日压减至15个工作日。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1.开展“双随机、一公开”监管，发现违法违规行为的要依法查处并公开结果。2.建立国际班轮运输企业信用档案并向社会公开信用记录，对严重失信主体开展联合惩戒。3.发挥行业协会自律作用。</w:t>
            </w:r>
          </w:p>
        </w:tc>
      </w:tr>
      <w:tr>
        <w:tblPrEx>
          <w:tblCellMar>
            <w:top w:w="0" w:type="dxa"/>
            <w:left w:w="108" w:type="dxa"/>
            <w:bottom w:w="0" w:type="dxa"/>
            <w:right w:w="108" w:type="dxa"/>
          </w:tblCellMar>
        </w:tblPrEx>
        <w:trPr>
          <w:trHeight w:val="345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235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国际客船、散装液体危险品船运输业务经营审批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国际船舶运输经营许可证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《中华人民共和国国际海运条例》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及时完善更新办事指南并在网上公布审批程序、受理条件和办理标准。2.不再要求申请人提供营业执照等材料。3.放宽对自有船舶的准入条件，对已取得经营资格的航运企业，允许将出售给依法取得国家有关部门批准的融资租赁公司后、再以融资租赁方式回租的船舶认定为自有船舶。4.将审批时限由30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建立国际客船、散装液体危险品船舶运输企业信用档案，向社会公开信用记录，对严重失信主体开展联合惩戒。3.发挥行业协会自律作用。</w:t>
            </w:r>
          </w:p>
        </w:tc>
      </w:tr>
      <w:tr>
        <w:tblPrEx>
          <w:tblCellMar>
            <w:top w:w="0" w:type="dxa"/>
            <w:left w:w="108" w:type="dxa"/>
            <w:bottom w:w="0" w:type="dxa"/>
            <w:right w:w="108" w:type="dxa"/>
          </w:tblCellMar>
        </w:tblPrEx>
        <w:trPr>
          <w:trHeight w:val="4577"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236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从事大陆与台湾间海上运输业务许可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台湾海峡两岸间水路运输许可证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公布审批程序、受理条件和办理标准，公开办理进度。2.不再要求申请人提供营业执照等材料。3.放宽对自有船舶的准入条件，对已取得经营资格的航运企业，允许将出售给符合有关规定的融资租赁公司后、再以融资租赁方式回租的船舶认定为自有船舶。4.将审批时限由30个工作日压减至20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1.加强港口、航运、海事部门之间的协作，实施联合监管。2.通过抽查等方式加强对地方港口、航运部门监管工作的监督检查，及时纠正问题。3.加强信用监管，对严重失信主体开展联合惩戒。</w:t>
            </w:r>
          </w:p>
          <w:p>
            <w:pPr>
              <w:spacing w:line="280" w:lineRule="exact"/>
              <w:ind w:firstLine="0" w:firstLineChars="0"/>
              <w:jc w:val="both"/>
              <w:rPr>
                <w:rFonts w:hint="eastAsia" w:ascii="仿宋_GB2312" w:hAnsi="仿宋_GB2312" w:eastAsia="仿宋_GB2312" w:cs="仿宋_GB2312"/>
                <w:sz w:val="21"/>
              </w:rPr>
            </w:pP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237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从事内地与港澳间客船、散装液体危险品船运输业务许可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交通行政许可决定书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《中华人民共和国国际海运条例》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及时完善更新办事指南并在网上公布审批程序、受理条件和办理标准。2.不再要求申请人提供营业执照等材料。3.放宽对自有船舶的准入条件，对已取得经营资格的航运企业，允许将其自有船舶出售给依法取得国家有关部门批准的融资租赁公司后、再以融资租赁方式回租的船舶认定为自有船舶。4.将审批时限由30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建立内地与港澳间客船、散装液体危险品船运输企业信用档案，向社会公开信用记录，对严重失信主体开展联合惩戒。3.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238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培训机构从事船员、引航员培训业务审批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船员培训许可证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《中华人民共和国船员条例》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取消现场核验环节，在审批过程中不再到培训机构进行现场核验。</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239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港口（旅客、危险货物）经营许可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港口经营许可证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《中华人民共和国港口法》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省级交通运输部门或所在地港口部门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1.推动实现申请、审批全程网上办理并在网上公布许可条件和办理流程。2.不再要求申请人提供营业执照等材料，在线获取营业执照信息。3.将审批时限由30个工作日压减至20个工作日。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通过有关信息化系统加强对港口经营人作业活动和作业区域的监督检查，督促其落实安全生产责任。3.加强信用监管，向社会公开港口企业信用记录。</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240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港口深水岸线使用审批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《中华人民共和国港口法》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不再要求申请人提供营业执照、公司章程等材料。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1.加强信用监管，将港口岸线使用有关信用信息纳入相关信用信息共享平台并向社会公布。2.依托港口岸线资源监测平台，利用遥感卫星图片跟踪岸线资源利用情况，发现问题要依法及时处理。</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241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港口设施保安证书核发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港口设施保安符合证书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省级交通运输（港口）部门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1.实现申请、审批全程网上办理并在网上公布审批条件和办理流程。2.不再要求申请人提供营业执照等材料，在线获取营业执照信息。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完善港口设施保安规则和相关标准，统一规范港口设施保安工作。2.依托有关信息系统，实现港口设施保安管理信息报送和共享，加强对港口设施保安工作的监管。3.对下级交通运输（港口）部门履职情况进行监督检查。4.加强信用监管，向社会公布港口企业信用记录。</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242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公路养护作业单位资质审批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公路养护作业资质证书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《公路安全保护条例》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统一资质许可标准，打破公路养护作业单位资质地域限制，实现公路养护作业单位资质全国通用。2.实现申请、审批全程网上办理并在网上公布审批条件、办理程序和审查要点。3.不再要求申请人提供营业执照等材料，在线获取营业执照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1.开展“双随机、一公开”监管，发现违法违规行为的要依法查处并公开结果。2.通过“互联网+监管”，加强对企业投标及履约行为的监管。3.加强信用监管，拓展信用评价结果应用范围，实行失信联合惩戒。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243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水运工程监理企业甲级资质认定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交通建设工程监理企业资质等级证书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《建设工程质量管理条例》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1.实现申请、审批全程网上办理并在网上公布认定条件、办理流程、审查要点，公开办理进度。2.不再要求申请人提供营业执照复印件、企业章程和制度等材料。3.将专家评审时限由60天压减至40天。</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w:t>
            </w:r>
          </w:p>
        </w:tc>
      </w:tr>
      <w:tr>
        <w:tblPrEx>
          <w:tblCellMar>
            <w:top w:w="0" w:type="dxa"/>
            <w:left w:w="108" w:type="dxa"/>
            <w:bottom w:w="0" w:type="dxa"/>
            <w:right w:w="108" w:type="dxa"/>
          </w:tblCellMar>
        </w:tblPrEx>
        <w:trPr>
          <w:trHeight w:val="188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244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国际道路旅客运输许可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道路运输经营许可证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《中华人民共和国道路运输条例》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省级交通运输部门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1.加强部门间信息共享和联合监管，通过信息化手段对国际道路旅客运输企业、从业人员、运输车辆进行监督管理。2.依托北斗卫星导航系统车载终端，加强对有关车辆的动态监控。3.依法及时处理投诉举报。</w:t>
            </w:r>
          </w:p>
        </w:tc>
      </w:tr>
      <w:tr>
        <w:tblPrEx>
          <w:tblCellMar>
            <w:top w:w="0" w:type="dxa"/>
            <w:left w:w="108" w:type="dxa"/>
            <w:bottom w:w="0" w:type="dxa"/>
            <w:right w:w="108" w:type="dxa"/>
          </w:tblCellMar>
        </w:tblPrEx>
        <w:trPr>
          <w:trHeight w:val="188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245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从事海员外派业务审批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海洋船舶船员服务机构资质证书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《对外劳务合作管理条例》</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《中华人民共和国船员条例》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交通运输部直属海事局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1.开展“双随机、一公开”监管，发现违法违规行为的要依法查处并公开结果。2.加强信用监管，向社会公布有关企业信用记录，对失信主体开展联合惩戒。3.依法及时处理投诉举报。</w:t>
            </w:r>
          </w:p>
        </w:tc>
      </w:tr>
      <w:tr>
        <w:tblPrEx>
          <w:tblCellMar>
            <w:top w:w="0" w:type="dxa"/>
            <w:left w:w="108" w:type="dxa"/>
            <w:bottom w:w="0" w:type="dxa"/>
            <w:right w:w="108" w:type="dxa"/>
          </w:tblCellMar>
        </w:tblPrEx>
        <w:trPr>
          <w:trHeight w:val="188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246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水利部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水利工程建设监理单位资质认定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水利工程建设监理单位资质等级证书（甲级、乙级、丙级）</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水利部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1.实现申请、审批全程网上办理。2.不再要求申请人提供营业执照复印件、有关人员资格证明等材料。3.直接邮寄或由企业自取证书，实现企业“最多跑一次”。</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1.开展“双随机、一公开”监管，合理确定抽查比例。2.依法及时处理投诉举报。3.加强信用监管，向社会公布水利工程建设监理单位信用状况，建立行业黑名单制度，对失信主体加大抽查比例并开展联合惩戒。</w:t>
            </w:r>
          </w:p>
        </w:tc>
      </w:tr>
      <w:tr>
        <w:tblPrEx>
          <w:tblCellMar>
            <w:top w:w="0" w:type="dxa"/>
            <w:left w:w="108" w:type="dxa"/>
            <w:bottom w:w="0" w:type="dxa"/>
            <w:right w:w="108" w:type="dxa"/>
          </w:tblCellMar>
        </w:tblPrEx>
        <w:trPr>
          <w:trHeight w:val="188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247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水利部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水利工程质量检测单位资质认定（甲级）</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水利工程质量检测单位资质等级证书（甲级）</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水利部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1.实现申请、审批全程网上办理。2.不再要求申请人提供营业执照复印件、有关人员资格证明等材料。3.直接邮寄或由企业自取证书，实现企业“最多跑一次”。</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合理确定抽查比例。2.依法及时处理投诉举报。3.加强信用监管，向社会公布水利工程质量检测单位（甲级）信用状况，建立行业黑名单制度，对失信主体加大抽查比例并开展联合惩戒。</w:t>
            </w:r>
          </w:p>
        </w:tc>
      </w:tr>
      <w:tr>
        <w:tblPrEx>
          <w:tblCellMar>
            <w:top w:w="0" w:type="dxa"/>
            <w:left w:w="108" w:type="dxa"/>
            <w:bottom w:w="0" w:type="dxa"/>
            <w:right w:w="108" w:type="dxa"/>
          </w:tblCellMar>
        </w:tblPrEx>
        <w:trPr>
          <w:trHeight w:val="152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248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进出口农作物种子（苗）审批（初审）</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《中华人民共和国种子法》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1.实现申请、审批网上办理。2.不再要求申请人提供营业执照、法定代表人身份证等材料，通过部门间信息共享获取相关信息。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1.开展“双随机、一公开”监管，根据风险程度，合理确定抽查比例，对风险等级高的领域、投诉举报多的企业实施重点监管。2.强化社会监督，依法及时处理举报、投诉问题，调查处理结果向社会公开。</w:t>
            </w:r>
          </w:p>
        </w:tc>
      </w:tr>
      <w:tr>
        <w:tblPrEx>
          <w:tblCellMar>
            <w:top w:w="0" w:type="dxa"/>
            <w:left w:w="108" w:type="dxa"/>
            <w:bottom w:w="0" w:type="dxa"/>
            <w:right w:w="108" w:type="dxa"/>
          </w:tblCellMar>
        </w:tblPrEx>
        <w:trPr>
          <w:trHeight w:val="152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249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进出口农作物种子审批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动植物苗种进（出）口审批表</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《中华人民共和国种子法》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1.实现申请、审批网上办理。2.不再要求申请人提供营业执照、法定代表人身份证等材料，通过部门间信息共享获取相关信息。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实行承诺备案和申请资料留存备查的企业实施重点监管，严肃查处弄虚作假骗取许可行为。2.加强信用监管，向社会公布进出口农作物种子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250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食用菌菌种进出口审批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动植物苗种进（出）口审批表</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《中华人民共和国种子法》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1.实现申请、审批网上办理。2.不再要求申请人提供营业执照、法定代表人身份证等材料，通过部门间信息共享获取相关信息。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1.开展“双随机、一公开”监管，根据风险程度，合理确定抽查比例，对风险等级高的领域、投诉举报多的企业实施重点监管。2.强化社会监督，依法及时处理举报、投诉问题，调查处理结果向社会公开。</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251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外商投资农作物新品种选育和种子生产经营审批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《中华人民共和国种子法》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《中华人民共和国中外合资经营企业法实施条例》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1.实现申请、审批网上办理。2.不再要求申请人提供营业执照、法定代表人身份证等材料，通过部门间信息共享获取相关信息。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1.开展“双随机、一公开”监管，对实行承诺备案和申请资料留存备查的企业实施重点监管，严肃查处弄虚作假骗取许可行为。2.加强信用监管，向社会公布农作物种子企业信用状况，对失信主体开展联合惩戒。</w:t>
            </w:r>
          </w:p>
        </w:tc>
      </w:tr>
      <w:tr>
        <w:tblPrEx>
          <w:tblCellMar>
            <w:top w:w="0" w:type="dxa"/>
            <w:left w:w="108" w:type="dxa"/>
            <w:bottom w:w="0" w:type="dxa"/>
            <w:right w:w="108" w:type="dxa"/>
          </w:tblCellMar>
        </w:tblPrEx>
        <w:trPr>
          <w:trHeight w:val="2407"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252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农作物种子生产经营（外商投资企业）许可证核发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农作物种子生产经营许可证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《中华人民共和国种子法》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1.实现申请、受理网上办理。2.不再要求申请人提供种子检验、加工等设备清单和购置发票复印件。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实行承诺备案和申请资料留存备查的企业实施重点监管，严肃查处弄虚作假骗取许可行为。2.加强信用监管，向社会公布外商投资农作物种子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253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农作物种子生产经营（进出口）许可证核发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农作物种子生产经营许可证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《中华人民共和国种子法》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1.实现申请、受理网上办理。2.不再要求申请人提供种子检验、加工等设备清单和购置发票复印件。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实行承诺备案和申请资料留存备查的企业实施重点监管，严肃查处弄虚作假骗取许可行为。2.加强信用监管，向社会公布进出口农作物种子企业信用状况，对失信主体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254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农作物种子质量检验机构资格认定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农作物种子质量检验机构考核证书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《中华人民共和国种子法》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1.不再要求申请人提供机构设置、人员身份等证明材料。2.将人员数量要求由不少于5人压减为满足要求即可，将仪器设备种类由不少于6类压减为满足要求即可。3.将能力验证时限由90天压减为最长不超过45天。</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255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食用菌菌种质量检验机构资格认定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食用菌菌种质量检验机构考核证书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《中华人民共和国种子法》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1.不再要求申请人提供机构设置、人员身份等证明材料。2.将人员数量要求由不少于5人压减为满足要求即可，将仪器设备种类由不少于6类压减为满足要求即可。3.将能力验证时限由90天压减至最长不超过45天。</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256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转基因棉花种子生产经营许可证核发（初审）</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《中华人民共和国种子法》《农业转基因生物安全管理条例》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1.实现申请、审批网上办理。2.不再要求申请人提供营业执照、法定代表人身份证等材料，通过部门间信息共享获取相关信息。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1.开展“双随机、一公开”监管，根据风险程度，合理确定抽查比例，对风险等级高的领域、投诉举报多的企业实施重点监管。2.强化社会监督，依法及时处理投诉举报，调查处理结果向社会公开。</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257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转基因农作物种子生产经营许可证核发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转基因农作物种子生产经营许可证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《中华人民共和国种子法》《农业转基因生物安全管理条例》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1.实现申请、审批网上办理。2.不再要求申请人提供营业执照、法定代表人身份证等材料，通过部门间信息共享获取相关信息。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1.开展“双随机、一公开”监管，对实行承诺备案和申请资料留存备查的企业实施重点监管，严肃查处弄虚作假骗取许可行为。2.加强信用监管，向社会公布农作物种子企业信用状况，对失信主体开展联合惩戒。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258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转基因种畜禽生产经营许可证核发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转基因种畜禽生产经营许可证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《农业转基因生物安全管理条例》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1.加强行业监测，将风险隐患较多的企业列入重点监管对象，确保不发生重大风险。2.依法及时处理投诉举报，并将调查处理结果向社会公开。</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259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转基因水产苗种生产经营许可证核发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转基因水产苗种生产经营许可证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《农业转基因生物安全管理条例》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1.实现全国一网通办，申请人“最多跑一次”。2.不再要求申请人提供营业执照、法定代表人身份证等材料，通过部门间信息共享获取相关信息。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1.开展“双随机、一公开”监管，发现违法违规行为的要依法查处。2.对风险等级高、投诉举报多的企业实施重点监管。3.依法及时处理举报、投诉问题，处理结果向社会公开并记入企业信用档案。</w:t>
            </w:r>
          </w:p>
        </w:tc>
      </w:tr>
      <w:tr>
        <w:tblPrEx>
          <w:tblCellMar>
            <w:top w:w="0" w:type="dxa"/>
            <w:left w:w="108" w:type="dxa"/>
            <w:bottom w:w="0" w:type="dxa"/>
            <w:right w:w="108" w:type="dxa"/>
          </w:tblCellMar>
        </w:tblPrEx>
        <w:trPr>
          <w:trHeight w:val="325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260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农业转基因生物加工审批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农业转基因生物加工许可证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《农业转基因生物安全管理条例》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不再要求申请人提供加工原料的《农业转基因生物安全证书》复印件。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1.开展“双随机、一公开”监管，发现违法违规行为的依法查处并公开结果。2.畅通投诉举报渠道，及时调查处理并将处理结果向社会公开。3.加强行业自律。</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261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省级及以下农产品质量安全检测机构资格认定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农产品质量安全检测机构考核合格证书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《中华人民共和国农产品质量安全法》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信用水平，合理确定抽查比例。2.对精简的材料及其证明事项，在现场评审或监督检查中予以重点核查，发现虚假或不符合条件机构要依法处理。3.加强监测，针对发现的普遍问题和突出风险开展专项检查。</w:t>
            </w:r>
          </w:p>
        </w:tc>
      </w:tr>
      <w:tr>
        <w:tblPrEx>
          <w:tblCellMar>
            <w:top w:w="0" w:type="dxa"/>
            <w:left w:w="108" w:type="dxa"/>
            <w:bottom w:w="0" w:type="dxa"/>
            <w:right w:w="108" w:type="dxa"/>
          </w:tblCellMar>
        </w:tblPrEx>
        <w:trPr>
          <w:trHeight w:val="434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262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国家级农产品质量安全检测机构资格认定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农产品质量安全检测机构考核合格证书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《中华人民共和国农产品质量安全法》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信用水平，合理确定抽查比例。2.对精简的材料及其证明事项，在现场评审或监督检查中予以重点核查，发现虚假或不符合条件机构要依法处理。3.加强监测，针对发现的普遍问题和突出风险开展专项检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263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农药登记试验单位认定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农药登记试验单位证书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《农药管理条例》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1.实现申请、审批网上办理。2.不再要求申请人同时提供申请材料的纸质文件和电子文档。</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1.开展“双随机、一公开”监管，发现违法违规行为的要依法查处。2.及时处理有关投诉举报，调查处理结果向社会公开。3.加强信用监管，向社会公布农药登记试验单位信用状况，对失信主体开展联合惩戒。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264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农药生产许可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农药生产许可证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《农药管理条例》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1.实现申请、审批网上办理。2.不再要求申请人同时提供申请材料的纸质文件和电子文档。</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行业监测，畅通投诉举报渠道，将风险隐患、投诉举报较多的企业列入重点监管对象。3.加强信用监管，向社会公布农药生产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265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农药登记</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农药登记证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《农药管理条例》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农业农村部；省级农业农村部门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网上办理。2.在首次登记时，不再要求申请人提供产品安全数据单，将申请人资质、申请人资料真实性声明合并到农药登记申请表。3.在延续登记时，不再要求申请人提供加盖公章的农药登记证复印件，产品年生产量、销售量、销售额等情况。4.在变更登记时，不再要求申请人提供加盖公章的农药登记证复印件和产品安全数据单。</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1.开展“双随机、一公开”监管，发现违法违规行为的要依法查处。2.及时处理有关投诉举报，调查处理结果向社会公开。3.加强信用监管，向社会公布有关单位信用状况，对失信主体开展联合惩戒。</w:t>
            </w:r>
          </w:p>
          <w:p>
            <w:pPr>
              <w:spacing w:line="280" w:lineRule="exact"/>
              <w:ind w:firstLine="0"/>
              <w:jc w:val="both"/>
              <w:rPr>
                <w:rFonts w:hint="eastAsia" w:ascii="仿宋_GB2312" w:hAnsi="仿宋_GB2312" w:eastAsia="仿宋_GB2312" w:cs="仿宋_GB2312"/>
              </w:rPr>
            </w:pP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266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新农药登记试验审批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新农药登记试验批准证书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《农药管理条例》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1.实现申请、审批网上办理。2.不再要求申请人同时提供纸质申请资料和电子文档。</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1.开展“双随机、一公开”监管，发现违法违规行为的要依法查处。2.根据投诉举报实施重点监管。3.加强信用监管，向社会公布新农药登记试验单位信用状况，对失信主体开展联合惩戒。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267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肥料登记</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肥料登记证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《中华人民共和国农业法》《中华人民共和国农产品质量安全法》《中华人民共和国土壤污染防治法》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农业农村部；省级农业农村部门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1.在肥料首次登记和变更登记时，不再要求申请人提供肥料产品登记申请单。2.在续展登记时，不再要求申请人提供肥料产品登记申请单和加盖申请人公章的肥料登记证复印件。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开展“双随机、一公开”监管，发现违法违规行为的要依法查处并公开结果。2.加强行业监测，畅通投诉举报渠道，将风险隐患、投诉举报较多的企业列入重点监管对象。3.加强信用监管，向社会公布肥料生产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268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从事饲料、饲料添加剂生产的企业审批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饲料生产许可证、饲料添加剂生产许可证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《饲料和饲料添加剂管理条例》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不再要求申请人提供人员资质证明、营业执照等材料。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269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采集、出售、收购国家二级保护野生植物（农业类）审批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国家重点保护野生植物采集许可证，出售、收购国家二级保护野生植物许可文件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《中华人民共和国野生植物保护条例》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1.开展“双随机、一公开”监管，发现违法违规行为要依法查处并公开结果。2.加强信用监管，对失信主体开展联合惩戒。3.对风险等级较高、信用等级较低的企业实施重点监管。4.依法及时处理投诉举报。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270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人工繁育国家重点保护水生野生动物审批（白鱀豚等）</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中华人民共和国水生野生动物人工繁育许可证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《中华人民共和国野生动物保护法》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1.对在“双随机、一公开”监管中未发现问题且年办理10批次以上材料均合格的申请人，采用申请材料容缺方式办理审批。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1.开展“双随机、一公开”监管，发现违法违规行为的要依法查处并公开结果。2.对风险等级较高、信用等级较低的企业实施重点监管。3.依法及时处理投诉举报。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271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人工繁育国家重点保护水生野生动物审批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中华人民共和国水生野生动物人工繁育许可证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《中华人民共和国野生动物保护法》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省级农业农村（渔业）部门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1.实现全国一网通办，申请人“最多跑一次”。2.不再要求申请人提供营业执照、法定代表人身份证等材料，通过部门间信息共享获取相关信息。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1.开展“双随机、一公开”监管，发现违法违规行为的要依法查处。2.对风险等级高、投诉举报多的企业实施重点监管。3.依法及时处理投诉举报，处理结果向社会公开并记入企业信用档案。</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272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出售、购买、利用国家重点保护水生野生动物及其制品审批（白鱀豚等）</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中华人民共和国水生野生动物经营利用许可证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《中华人民共和国野生动物保护法》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对在“双随机、一公开”监管中未发现问题且年办理10批次以上材料均合格的申请人，采用申请材料容缺方式办理审批。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1.开展“双随机、一公开”监管，发现违法违规行为的要依法查处并公开结果。2.对风险等级较高、信用等级较低的企业实施重点监管。3.依法及时处理投诉举报。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both"/>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273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出售、购买、利用国家重点保护水生野生动物及其制品审批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中华人民共和国水生野生动物经营利用许可证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《中华人民共和国野生动物保护法》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省级农业农村（渔业）部门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1.实现全国一网通办，申请人“最多跑一次”。2.不再要求申请人提供营业执照、法定代表人身份证等材料，通过部门间信息共享获取相关信息。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1.开展“双随机、一公开”监管，发现违法违规行为的要依法查处。2.对风险等级高、投诉举报多的企业实施重点监管。3.依法及时处理投诉举报，处理结果向社会公开并记入企业信用档案。</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274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兽药生产许可证核发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兽药生产许可证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《兽药管理条例》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省级农业农村（畜牧兽医）部门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1.实现申请、审批网上办理。2.将审批时限由40个工作日压减至35个工作日。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275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兽药经营许可证核发（生物制品类）</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兽药经营许可证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《兽药管理条例》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省级农业农村部门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1.实现申请、审批网上办理，提高服务便民化水平。2.将审批时限由30个工作日压减至25个工作日。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1.开展“双随机、一公开”监管，对风险等级高、投诉举报多的企业增加抽检数量和频次，实施重点监管。2.强化社会监督，依法及时处理举报、投诉问题，调查处理结果向社会公开。</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276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重要水产苗种进出口审批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动植物苗种进（出）口审批表</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《中华人民共和国渔业法》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农业农村部；省级农业农村（渔业）部门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1.实现全国一网通办，申请人“最多跑一次”。2.不再要求申请人提供营业执照、法定代表人身份证等材料，通过部门间信息共享获取相关信息。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1.开展“双随机、一公开”监管，发现违法违规行为的要依法查处。2.对风险等级高、投诉举报多的企业实施重点监管。3.依法及时处理举报、投诉问题，处理结果向社会公开并记入企业信用档案。</w:t>
            </w:r>
          </w:p>
        </w:tc>
      </w:tr>
      <w:tr>
        <w:tblPrEx>
          <w:tblCellMar>
            <w:top w:w="0" w:type="dxa"/>
            <w:left w:w="108" w:type="dxa"/>
            <w:bottom w:w="0" w:type="dxa"/>
            <w:right w:w="108" w:type="dxa"/>
          </w:tblCellMar>
        </w:tblPrEx>
        <w:trPr>
          <w:trHeight w:val="216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277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水产苗种进出口审批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水产苗种进出口审批表</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《中华人民共和国渔业法》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省级农业农村（渔业）部门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1.实现全国一网通办，申请人“最多跑一次”。2.不再要求申请人提供营业执照、法定代表人身份证等材料，通过部门间信息共享获取相关信息。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1.开展“双随机、一公开”监管，发现违法违规行为的要依法查处。2.对风险等级高、投诉举报多的企业实施重点监管。3.依法及时处理投诉举报，处理结果向社会公开并记入企业信用档案。</w:t>
            </w:r>
          </w:p>
        </w:tc>
      </w:tr>
      <w:tr>
        <w:tblPrEx>
          <w:tblCellMar>
            <w:top w:w="0" w:type="dxa"/>
            <w:left w:w="108" w:type="dxa"/>
            <w:bottom w:w="0" w:type="dxa"/>
            <w:right w:w="108" w:type="dxa"/>
          </w:tblCellMar>
        </w:tblPrEx>
        <w:trPr>
          <w:trHeight w:val="91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278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渔业捕捞许可证核发（涉外渔业）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渔业捕捞许可证（涉外渔业）</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《中华人民共和国渔业法》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1.实现申请、审批全程网上办理。2.对能够通过有关信息系统或者部门间信息共享核查的证明材料，不再要求申请人提供。</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1.开展“双随机、一公开”监管，发现违法违规行为的要依法查处并及时公布查处结果。2.强化社会监督，依法及时处理投诉举报，调查处理结果向社会公开。</w:t>
            </w:r>
          </w:p>
        </w:tc>
      </w:tr>
      <w:tr>
        <w:tblPrEx>
          <w:tblCellMar>
            <w:top w:w="0" w:type="dxa"/>
            <w:left w:w="108" w:type="dxa"/>
            <w:bottom w:w="0" w:type="dxa"/>
            <w:right w:w="108" w:type="dxa"/>
          </w:tblCellMar>
        </w:tblPrEx>
        <w:trPr>
          <w:trHeight w:val="1537"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279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远洋渔业项目初审</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《中华人民共和国渔业法实施细则》</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省级农业农村（渔业）部门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1.实现全国一网通办，申请人“最多跑一次”。2.不再要求申请人提供营业执照、法定代表人身份证等材料，通过部门间信息共享获取相关信息。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1.开展“双随机、一公开”监管，发现违法违规行为的要依法查处。2.对风险等级高、投诉举报多的企业实施重点监管。3.依法及时处理投诉举报，处理结果向社会公开并记入企业信用档案。</w:t>
            </w:r>
          </w:p>
        </w:tc>
      </w:tr>
      <w:tr>
        <w:tblPrEx>
          <w:tblCellMar>
            <w:top w:w="0" w:type="dxa"/>
            <w:left w:w="108" w:type="dxa"/>
            <w:bottom w:w="0" w:type="dxa"/>
            <w:right w:w="108" w:type="dxa"/>
          </w:tblCellMar>
        </w:tblPrEx>
        <w:trPr>
          <w:trHeight w:val="216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280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远洋渔业审批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远洋渔业项目审批通知</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《中华人民共和国渔业法》《中华人民共和国渔业法实施细则》</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不再要求申请人提供营业执照、渔业船舶检验证书、渔业船舶登记证等材料，通过部门间信息共享获取相关信息。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将远洋渔船的生产情况报告、标准化捕捞日志、渔船船位监测、派遣国家观察员、签发合法捕捞证明等纳入监管内容，实现远洋渔船全过程动态监管。2.畅通投诉举报渠道，对涉嫌违法违规的远洋渔业企业和渔船组织开展调查，发现违法违规行为的要依法查处。</w:t>
            </w:r>
          </w:p>
        </w:tc>
      </w:tr>
      <w:tr>
        <w:tblPrEx>
          <w:tblCellMar>
            <w:top w:w="0" w:type="dxa"/>
            <w:left w:w="108" w:type="dxa"/>
            <w:bottom w:w="0" w:type="dxa"/>
            <w:right w:w="108" w:type="dxa"/>
          </w:tblCellMar>
        </w:tblPrEx>
        <w:trPr>
          <w:trHeight w:val="274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281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农业农村部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水产原、良种场的水产苗种生产许可证核发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水产苗种生产许可证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《中华人民共和国渔业法》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省级农业农村（渔业）部门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1.实现全国一网通办，申请人“最多跑一次”。2.不再要求申请人提供营业执照、法定代表人身份证等材料，通过部门间信息共享获取相关信息。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1.开展“双随机、一公开”监管，发现违法违规行为的要依法查处。2.对风险等级高、投诉举报多的企业实施重点监管。3.依法及时处理投诉举报，处理结果向社会公开并记入企业信用档案。</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282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商务部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援外项目实施企业资格认定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资格认定批件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商务部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不再要求申请人提供税务部门出具的完税证明。</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1.建立援外项目实施企业信用记录，实行失信联合惩戒。2.开展重点审计，对重点关注企业、重点项目实施企业进行审计。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283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商务部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进出口国营贸易经营资格认定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《中华人民共和国对外贸易法》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《中华人民共和国货物进出口管理条例》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商务部（部分品种需会同国务院有关部门）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推动压减申请材料，优化审批流程。</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及时公布检查情况，发现问题的向企业提出整改要求并跟踪整改结果，发现违法行为的依法实施行政处罚，将查处结果纳入企业信用记录。2.加强信用监管，会同有关部门实行失信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284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商务部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供港澳活畜禽经营权审批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《中华人民共和国货物进出口管理条例》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商务部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1.审批时不再征求海关总署和中国食品土畜进出口商会意见。2.不再要求申请人提供海关总署供港澳活畜禽备案养殖场资格证书。</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1.推进部门间信息共享和协同监管体系建设。2.加强信用监管，将供港澳活畜禽企业经营情况记入信用记录，实施失信联合惩戒。</w:t>
            </w:r>
          </w:p>
        </w:tc>
      </w:tr>
      <w:tr>
        <w:tblPrEx>
          <w:tblCellMar>
            <w:top w:w="0" w:type="dxa"/>
            <w:left w:w="108" w:type="dxa"/>
            <w:bottom w:w="0" w:type="dxa"/>
            <w:right w:w="108" w:type="dxa"/>
          </w:tblCellMar>
        </w:tblPrEx>
        <w:trPr>
          <w:trHeight w:val="186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285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商务部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报废机动车回收（拆解）企业资质认定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资质认定书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《报废机动车回收管理办法》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省级商务部门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不再将注册资本、场地面积、从业人员等作为报废机动车回收（拆解）企业资质认定条件。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1.推进部门间信息共享和协同监管体系建设。2.开展“双随机、一公开”监管，对投诉举报多的单位实施重点监管。3.发挥行业协会自律作用。</w:t>
            </w:r>
          </w:p>
        </w:tc>
      </w:tr>
      <w:tr>
        <w:tblPrEx>
          <w:tblCellMar>
            <w:top w:w="0" w:type="dxa"/>
            <w:left w:w="108" w:type="dxa"/>
            <w:bottom w:w="0" w:type="dxa"/>
            <w:right w:w="108" w:type="dxa"/>
          </w:tblCellMar>
        </w:tblPrEx>
        <w:trPr>
          <w:trHeight w:val="130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286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商务部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直销企业及其分支机构设立和变更审批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直销经营许可证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《直销管理条例》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商务部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1.制定并公开办事指南，在网上公开审批依据、申请条件、申请材料、办理流程和办理结果。2.推进“互联网+政务服务”，推动部门间信息共享应用。</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1.探索建立以信用监管为基础的行业监管体制。2.配合有关部门做好严重违法违规企业的查处。</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287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设立社会艺术水平考级机构审批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社会艺术水平考级资格证书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1.不再要求申请人提供营业执照、收费项目和标准等材料。2.将专家论证环节由3个月压减至1个月。</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对艺术水平考级行业的监测，针对发现的普遍性问题和突出风险开展专项检查。3.加强信用监管，向社会公布艺术水平考级机构信用状况。</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288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中外合资经营、中外合作经营的演出场所经营单位设立审批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营业性演出许可证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《营业性演出管理条例》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文化和旅游部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1.开展“双随机、一公开”监管，发现违法违规行为的要依法查处。2.加强信用监管，对失信主体开展联合惩戒。</w:t>
            </w:r>
          </w:p>
        </w:tc>
      </w:tr>
      <w:tr>
        <w:tblPrEx>
          <w:tblCellMar>
            <w:top w:w="0" w:type="dxa"/>
            <w:left w:w="108" w:type="dxa"/>
            <w:bottom w:w="0" w:type="dxa"/>
            <w:right w:w="108" w:type="dxa"/>
          </w:tblCellMar>
        </w:tblPrEx>
        <w:trPr>
          <w:trHeight w:val="268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289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港、澳地区投资者在内地投资设立合资、合作、独资经营的演出场所经营单位审批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营业性演出许可证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《营业性演出管理条例》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1.开展“双随机、一公开”监管，发现违法违规行为的要依法查处。2.加强信用监管，对失信主体开展联合惩戒。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290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台湾地区投资者在大陆投资设立合资、合作经营的演出场所经营单位审批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营业性演出许可证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《营业性演出管理条例》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291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中外合资经营、中外合作经营的演出经纪机构设立审批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营业性演出许可证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《营业性演出管理条例》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文化和旅游部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1.开展“双随机、一公开”监管，发现违法违规行为的要依法查处。2.加强信用监管，对失信主体开展联合惩戒。</w:t>
            </w:r>
          </w:p>
        </w:tc>
      </w:tr>
      <w:tr>
        <w:tblPrEx>
          <w:tblCellMar>
            <w:top w:w="0" w:type="dxa"/>
            <w:left w:w="108" w:type="dxa"/>
            <w:bottom w:w="0" w:type="dxa"/>
            <w:right w:w="108" w:type="dxa"/>
          </w:tblCellMar>
        </w:tblPrEx>
        <w:trPr>
          <w:trHeight w:val="381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292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港、澳地区投资者在内地投资设立合资、合作、独资经营的演出经纪机构的审批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营业性演出许可证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《营业性演出管理条例》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293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台湾地区投资者在大陆投资设立合资、合作经营的演出经纪机构的审批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营业性演出许可证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《营业性演出管理条例》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294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港、澳服务提供者在内地设立内地方控股合资演出团体审批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营业性演出许可证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《营业性演出管理条例》《内地与香港关于建立更紧密经贸关系的安排》《内地与澳门关于建立更紧密经贸关系的安排》</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1.实现申请、审批全程网上办理。2.将审批时限由20个工作日压减至13个工作日。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1.开展“双随机、一公开”监管，发现违法违规行为的要依法查处。2.加强信用监管，对失信主体开展联合惩戒。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295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旅行社经营出国旅游业务审批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旅行社业务经营许可证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《中华人民共和国旅游法》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《旅行社条例》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文化和旅游部；省级文化和旅游部门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1.实现申请、审批全程网上办理。2.网上公布审批程序、受理条件、办理标准，公开办理进度。</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未经许可经营旅行社业务，出租、出借、转让业务经营许可证，未经许可经营出境旅游、边境旅游业务等违法违规行为的要依法查处。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296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旅行社经营赴港澳旅游业务审批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旅行社业务经营许可证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《中华人民共和国旅游法》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《旅行社条例》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文化和旅游部；省级文化和旅游部门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1.实现申请、审批全程网上办理。2.网上公布审批程序、受理条件、办理标准，公开办理进度。</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1.开展“双随机、一公开”监管，发现未经许可经营旅行社业务，出租、出借、转让业务经营许可证，未经许可经营出境旅游等违法违规行为的要依法查处。2.加强信用监管，对失信主体开展联合惩戒。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297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旅行社经营边境游资格审批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旅行社业务经营许可证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《中华人民共和国旅游法》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1.实现申请、审批全程网上办理。2.网上公布审批程序、受理条件、办理标准，公开办理进度。</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1.开展“双随机、一公开”监管，发现未经许可经营旅行社业务，出租、出借、转让业务经营许可证，未经许可经营边境旅游业务等违法违规行为的要依法查处。2.加强信用监管，对失信主体开展联合惩戒。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298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外商投资旅行社业务许可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旅行社业务经营许可证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《旅行社条例》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1.实现申请、审批全程网上办理。2.网上公布审批程序、受理条件、办理标准，公开办理进度。</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未经许可经营旅行社业务，出租、出借、转让业务经营许可证，未经许可经营出境旅游、边境旅游业务等违法违规行为的要依法查处。2.加强信用监管，对失信主体开展联合惩戒。</w:t>
            </w:r>
          </w:p>
        </w:tc>
      </w:tr>
      <w:tr>
        <w:tblPrEx>
          <w:tblCellMar>
            <w:top w:w="0" w:type="dxa"/>
            <w:left w:w="108" w:type="dxa"/>
            <w:bottom w:w="0" w:type="dxa"/>
            <w:right w:w="108" w:type="dxa"/>
          </w:tblCellMar>
        </w:tblPrEx>
        <w:trPr>
          <w:trHeight w:val="214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299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文化和旅游部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美术品进出口经营活动审批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省级文化和旅游部门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1.开展“双随机、一公开”监管，发现违法违规行为的要依法查处。2.加强信用监管，对失信主体开展联合惩戒。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300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生产用于传染病防治的消毒产品的单位审批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消毒产品生产企业卫生许可证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《中华人民共和国传染病防治法》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1.推动实现申请、审批全程网上办理并在网上公开办理进度。2.将审批时限由20个工作日压减至14个工作日。3.不再要求申请人提供营业执照复印件。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对违法宣传疗效、非法添加违禁物质等问题开展专项整治。3.加强“互联网+监管”，开展消毒产品生产企业分类监督、综合评价工作。</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301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个人剂量监测、放射防护器材和含放射性产品检测、医疗机构放射性危害评价等技术服务机构认定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放射卫生技术服务机构资质证书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《中华人民共和国职业病防治法》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不再要求申请人提供单位简介、质量管理手册和程序文件目录等材料。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w:t>
            </w:r>
          </w:p>
        </w:tc>
      </w:tr>
      <w:tr>
        <w:tblPrEx>
          <w:tblCellMar>
            <w:top w:w="0" w:type="dxa"/>
            <w:left w:w="108" w:type="dxa"/>
            <w:bottom w:w="0" w:type="dxa"/>
            <w:right w:w="108" w:type="dxa"/>
          </w:tblCellMar>
        </w:tblPrEx>
        <w:trPr>
          <w:trHeight w:val="301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302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设置戒毒医疗机构或者医疗机构从事戒毒治疗业务许可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医疗机构执业许可证（副本备注“戒毒医疗服务”）</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《中华人民共和国禁毒法》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1.对医疗机构开展定期校验，对医疗机构的戒毒治疗活动加强监督，发现问题的要及时依法处理。2.加强对戒毒诊疗新技术、新项目的临床管理。</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303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医疗机构开展人类辅助生殖技术许可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医疗机构开展人类辅助生殖技术许可批件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《计划生育技术服务管理条例》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每半年1次向社会公布人类辅助生殖技术配置规划及全国已取得人类辅助生殖技术许可的医疗机构名单，并在接到新的申请后1个月内向社会公开申请机构信息。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完善有关信息系统，及时更新公布人类辅助生殖技术机构相关信息。2.制定质量控制标准，建立健全质量控制体系。3.开展“双随机、一公开”监管，发现违法违规行为的要依法查处并公开结果。4.加强行业自律和社会监督。5.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304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医疗机构人体器官移植执业资格认定审批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医疗机构执业许可证（人体器官移植诊疗科目登记）</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《人体器官移植条例》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1.实现网上提交申请材料。2.将专家评审时限由90天压减至60天。</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国家卫生健康委应当加强对人体器官移植医疗机构的规划管理，并对省级卫生健康部门审批行为进行严格监管。2.健全以信息化监管为主、随机飞行检查为辅的监管机制，针对薄弱领域和存在的问题进行重点监管。3.会同有关部门完善防范打击组织出卖人体器官违法犯罪数据资源共享机制和联动机制。</w:t>
            </w:r>
          </w:p>
        </w:tc>
      </w:tr>
      <w:tr>
        <w:tblPrEx>
          <w:tblCellMar>
            <w:top w:w="0" w:type="dxa"/>
            <w:left w:w="108" w:type="dxa"/>
            <w:bottom w:w="0" w:type="dxa"/>
            <w:right w:w="108" w:type="dxa"/>
          </w:tblCellMar>
        </w:tblPrEx>
        <w:trPr>
          <w:trHeight w:val="9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305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职业卫生技术服务机构甲级资质认可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职业卫生技术服务机构资质证书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《中华人民共和国职业病防治法》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国家卫生健康委</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1.取消省级卫生健康部门初审环节。2.取消对注册资金和固定资产的要求。3.取消甲级机构跨省（区、市）服务备案。</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w:t>
            </w:r>
          </w:p>
        </w:tc>
      </w:tr>
      <w:tr>
        <w:tblPrEx>
          <w:tblCellMar>
            <w:top w:w="0" w:type="dxa"/>
            <w:left w:w="108" w:type="dxa"/>
            <w:bottom w:w="0" w:type="dxa"/>
            <w:right w:w="108" w:type="dxa"/>
          </w:tblCellMar>
        </w:tblPrEx>
        <w:trPr>
          <w:trHeight w:val="240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306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职业卫生技术服务机构乙级资质认可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职业卫生技术服务机构资质证书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《中华人民共和国职业病防治法》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将原有的职业卫生技术服务机构（除煤矿外）乙级、丙级资质和职业卫生技术服务机构（煤矿）乙级资质整合为职业卫生技术服务机构乙级资质。2.取消职业卫生技术服务机构乙级资质认可由设区的市级卫生健康部门初审环节。3.取消对注册资金和固定资产的要求。</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w:t>
            </w:r>
          </w:p>
        </w:tc>
      </w:tr>
      <w:tr>
        <w:tblPrEx>
          <w:tblCellMar>
            <w:top w:w="0" w:type="dxa"/>
            <w:left w:w="108" w:type="dxa"/>
            <w:bottom w:w="0" w:type="dxa"/>
            <w:right w:w="108" w:type="dxa"/>
          </w:tblCellMar>
        </w:tblPrEx>
        <w:trPr>
          <w:trHeight w:val="145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307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脐带血造血干细胞库设置审批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脐带血造血干细胞库许可证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《中华人民共和国献血法》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国家卫生健康委</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1.实现网上提交申请材料。2.将审批时限由20个工作日压减至15个工作日。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1.开展“双随机、一公开”监管，发现违法违规行为的要依法查处并公开结果。2.利用信息化手段加强监管。3.依法及时处理投诉举报。</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308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血站（除脐带血造血干细胞库外）设立及执业审批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血站执业许可证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《中华人民共和国献血法》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1.实现网上提交申请材料。2.将审批时限由20个工作日压减至15个工作日。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1.开展“双随机、一公开”监管，发现违法违规行为的要依法查处并公开结果。2.利用信息化手段加强监管。3.依法及时处理投诉举报。</w:t>
            </w:r>
          </w:p>
        </w:tc>
      </w:tr>
      <w:tr>
        <w:tblPrEx>
          <w:tblCellMar>
            <w:top w:w="0" w:type="dxa"/>
            <w:left w:w="108" w:type="dxa"/>
            <w:bottom w:w="0" w:type="dxa"/>
            <w:right w:w="108" w:type="dxa"/>
          </w:tblCellMar>
        </w:tblPrEx>
        <w:trPr>
          <w:trHeight w:val="19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309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单采血浆站设置审批及许可证核发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单采血浆许可证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《血液制品管理条例》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1.实现网上提交申请材料。2.将审批时限由20个工作日压减至15个工作日。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1.开展“双随机、一公开”监管，发现违法违规行为的要依法查处并公开结果。2.利用信息化手段加强监管。3.依法及时处理投诉举报。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310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医疗机构设置人类精子库审批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人类精子库批准证书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省级卫生健康部门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每半年1次向社会公布人类精子库配置规划及全国已取得设置人类精子库许可的医疗机构名单，并在接到新的申请后1个月内向社会公开申请机构信息。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完善有关信息系统，及时更新公布设置人类精子库的医疗机构相关信息。2.制定质量控制标准，建立健全质量控制体系。3.开展“双随机、一公开”监管，发现违法违规行为的要依法查处并公开结果。4.加强行业自律和社会监督。5.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311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国家卫生健康委</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甲类大型医用设备配置许可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甲类大型医用设备配置许可证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《医疗器械监督管理条例》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国家卫生健康委</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1.实现申请、审批全程网上办理并在网上公布审批程序、受理条件、评审标准，公开办理进度。2.不再要求申请人提供医疗机构执业许可证副本复印件。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对提供虚假材料、未达到承诺要求或者采取其他欺骗手段取得配置许可证的要依法处理。2.加强医疗机构执业活动监管，发现违法违规行为的要依法查处并公开结果。3.加强信用监管，向社会公布配置甲类大型医用设备医疗机构的信用状况。4.依法及时处理投诉举报。5.加强行业自律。</w:t>
            </w:r>
          </w:p>
        </w:tc>
      </w:tr>
      <w:tr>
        <w:tblPrEx>
          <w:tblCellMar>
            <w:top w:w="0" w:type="dxa"/>
            <w:left w:w="108" w:type="dxa"/>
            <w:bottom w:w="0" w:type="dxa"/>
            <w:right w:w="108" w:type="dxa"/>
          </w:tblCellMar>
        </w:tblPrEx>
        <w:trPr>
          <w:trHeight w:val="409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312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安全生产检测检验机构资质认可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安全生产检测检验机构资质证书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《中华人民共和国安全生产法》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省级应急管理部门、煤矿安全生产监管部门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行许可申请材料清单管理，不得要求申请人提供清单以外的证明材料。2.不再将安全生产检测检验机构取得法定计量认证作为前置条件。3.推行法定代表人承诺、公司承诺管理，对申请材料真实性、固定资产等实行告知承诺。4.依托有关平台，提供统一信息查询服务，便于机构跨区域从业和属地监管。</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制定全国统一的机构资质认定标准和执法标准，明确监管管辖权，规范自由裁量权。2.开展“双随机、一公开”监管和信用监管，加强执法监督，对失信主体实行联合惩戒。3.加强对安全生产检测检验机构有关信息的共享和公开，接受社会监督。4.发挥行业组织自律作用，完善技术仲裁工作机制。</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313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安全评价机构资质认可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安全评价机构资质证书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《中华人民共和国安全生产法》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省级应急管理部门、煤矿安全生产监管部门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行许可申请材料清单管理，不得要求申请人提供清单外的证明材料。2.不再要求申请人提供安全评价师、安全工程师等人员资格证明材料，实行联网查询。3.推行法定代表人承诺、公司承诺管理，对申请材料真实性、固定资产、办公面积等实行告知承诺管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健全安全评价机构审批工作制度，制定全国统一的机构资质认定标准和执法标准，明确监管管辖权，规范自由裁量权。2.开展“双随机、一公开”监管和信用监管，加强执法监督，对失信主体实行联合惩戒。3.加强对安全评价机构有关信息的共享和公开，接受社会监督。4.发挥行业组织自律作用，完善技术仲裁工作机制。</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314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跨省运营的石油天然气管道储运分（子）公司安全生产许可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安全生产许可证（危险化学品）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《安全生产许可证条例》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应急管理部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1.暂时调整适用《安全生产许可证条例》中关于审批权限的规定，将审批权限由应急管理部下放至省级应急管理部门。2.出台陆上油气管道企业安全生产许可证管理办法。</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1.开展“双随机、一公开”监管，发现违法违规行为的要依法严查重处并公开结果。2.加强信用监管，向社会公布跨省运营的石油天然气管道储运分（子）公司信用状况，对失信主体开展联合惩戒。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315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非煤矿矿山企业安全生产许可证核发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安全生产许可证（非煤矿山）</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《安全生产许可证条例》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省级应急管理部门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1.实现申请、审批全程网上办理。2.不再要求地质勘探单位提供地质勘查资质证书复印件，不再要求从事爆破作业的金属非金属矿山、地质勘查和采掘施工单位提供爆破作业单位许可证复印件。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强化陆上石油天然气开采企业作为发包单位的主体责任，由发包单位将陆上石油天然气钻井、物探、测井、录井、井下作业、油建企业纳入统一管理。2.加强信用监管，健全非煤矿山企业安全生产黑名单制度，对失信主体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316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海洋石油天然气企业安全生产许可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安全生产许可证（非煤矿山）</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《安全生产许可证条例》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应急管理部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1.实现申请、审批全程网上办理。2.不再要求申请人提交海洋石油特种设备合格检测报告并取得安全使用证或安全标志。</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强化海上石油生产设施设备的建造、安装、使用发证检验制度，指导第三方中介机构开展自律管理。2.压实企业安全生产主体责任，强化自身日常监督检查，及时查处违法违规行为。3.强化对从事海洋石油生产企业的安全监管，发现问题依法严肃查处。4.健全安全生产黑名单制度，对失信主体及其有关人员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317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烟花爆竹生产企业安全生产许可证核发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烟花爆竹生产企业安全生产许可证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《安全生产许可证条例》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省级应急管理部门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1.实现申请、审批全程网上办理。2.将审批时限由45个工作日压减至30个工作日。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1.开展“双随机、一公开”监管，发现违法违规行为的要依法严查重处并公开结果。2.加强信用监管，向社会公布烟花爆竹生产企业信用状况，对失信主体开展联合惩戒。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318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第一类非药品类易制毒化学品生产许可证核发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第一类非药品类易制毒化学品生产许可证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《易制毒化学品管理条例》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省级应急管理部门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1.实现申请、审批全程网上办理。2.将审批时限由60个工作日压减至40个工作日。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1.开展“双随机、一公开”监管，发现违法违规行为的依法严查重处并公开结果。2.加强信用监管，向社会公布第一类非药品类易制毒化学品生产企业信用状况，对失信主体开展联合惩戒。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319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应急管理部</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第一类非药品类易制毒化学品经营许可证核发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第一类非药品类易制毒化学品经营许可证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《易制毒化学品管理条例》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省级应急管理部门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1.实现申请、审批全程网上办理。2.将审批时限由30个工作日压减至20个工作日。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1.开展“双随机、一公开”监管，发现违法违规行为的依法严查重处并公开结果。2.加强信用监管，向社会公布第一类非药品类易制毒化学品经营企业信用状况，对失信主体开展联合惩戒。</w:t>
            </w:r>
          </w:p>
        </w:tc>
      </w:tr>
      <w:tr>
        <w:tblPrEx>
          <w:tblCellMar>
            <w:top w:w="0" w:type="dxa"/>
            <w:left w:w="108" w:type="dxa"/>
            <w:bottom w:w="0" w:type="dxa"/>
            <w:right w:w="108" w:type="dxa"/>
          </w:tblCellMar>
        </w:tblPrEx>
        <w:trPr>
          <w:trHeight w:val="324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320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经营个人征信业务的征信机构审批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个人征信业务经营许可证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《征信业管理条例》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中国人民银行总行</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将审批信息统一归集至有关信息平台。2.对许可证件有效期限内未发生行政处罚、责任事故、被列入失信被执行人名单的征信机构，在许可证书有效期满时自愿承诺符合相关审批要求的，实行直接换证（但不得连续两次申请直接换证）。</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合理确定抽查比例。2.依法及时处理投诉举报，对发现的违法违规行为要依法查处并公开结果。3.加强对征信机构的现场检查和非现场监测，确保不发生系统性金融风险。</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321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境外征信机构在境内经营征信业务审批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关于境外征信机构在境内经营征信业务批复</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《征信业管理条例》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中国人民银行总行</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1.实现申请、审批全程网上办理，并将审批信息统一归集至有关数据平台。2.不再要求申请人提供在申请注册环节已经提交的申请材料，压减审批材料数量30%以上。</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合理确定抽查比例。2.依法及时处理投诉举报，发现违法违规行为的要依法查处并公开结果。3.加强对征信机构的现场检查和非现场监测，确保不发生系统性金融风险。</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322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银行卡清算机构准入</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银行卡清算业务许可证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《国务院关于实施银行卡清算机构准入管理的决定》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中国人民银行总行</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1.发布银行卡清算机构准入服务指南，公开审批依据、申请条件、材料目录。2.申请人对董事和高级管理人员无犯罪证明、未受行政处罚证明等自愿作出承诺的，不再要求申请人提供有关部门证明材料。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完善持牌机构管理、交易转接合作管理、银行卡清算业务管理等制度，明确监管事项和报告事项，加强对企业的日常监管。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323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银行间债券市场结算代理人审批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批复</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中国人民银行总行</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开展“双随机、一公开”监管，根据不同风险程度、信用水平，合理确定抽查比例。</w:t>
            </w:r>
          </w:p>
        </w:tc>
      </w:tr>
      <w:tr>
        <w:tblPrEx>
          <w:tblCellMar>
            <w:top w:w="0" w:type="dxa"/>
            <w:left w:w="108" w:type="dxa"/>
            <w:bottom w:w="0" w:type="dxa"/>
            <w:right w:w="108" w:type="dxa"/>
          </w:tblCellMar>
        </w:tblPrEx>
        <w:trPr>
          <w:trHeight w:val="2114"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324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银行间债券市场做市商审批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批复</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中国人民银行总行</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开展“双随机、一公开”监管，根据不同风险程度、信用水平，合理确定抽查比例。</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325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商业银行、信用社代理支库业务审批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代理支库业务资格证书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中国人民银行副省级城市中心支行以上分支机构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1.将审批时限由20个工作日压减至15个工作日。2.不再要求申请人提供经营金融业务许可证复印件。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1.开展“双随机、一公开”监管，将代理支库业务检查纳入综合执法检查，发现违法违规行为的要依法查处。2.制定代理国库（包括代理支库）业务违规处罚标准。3.推广国库会计数据集中系统应用。</w:t>
            </w:r>
          </w:p>
        </w:tc>
      </w:tr>
      <w:tr>
        <w:tblPrEx>
          <w:tblCellMar>
            <w:top w:w="0" w:type="dxa"/>
            <w:left w:w="108" w:type="dxa"/>
            <w:bottom w:w="0" w:type="dxa"/>
            <w:right w:w="108" w:type="dxa"/>
          </w:tblCellMar>
        </w:tblPrEx>
        <w:trPr>
          <w:trHeight w:val="495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326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国库集中支付代理银行资格认定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准予行政许可决定书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中国人民银行总行</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1.将许可证件有效期由2年延长至5年。2.将审批时限由20个工作日压减至15个工作日。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1.严格执行法律法规和标准，通过对中央财政国库集中收付业务的现场检查，加强对代理银行的监管。2.开展“双随机、一公开”监管、专项检查等，依法处罚违法行为。</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327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中国人民银行</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黄金及其制品进出口审批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黄金及黄金制品进出口准许证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中国人民银行总行及上海总部，各分行、营业管理部、省会（首府）城市中心支行，深圳市中心支行</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1.实现申请、审批全程网上办理。2.不再要求申请人提供营业执照等材料。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实施“互联网+监管”，对接有关信息平台进行有效监管。</w:t>
            </w:r>
          </w:p>
        </w:tc>
      </w:tr>
      <w:tr>
        <w:tblPrEx>
          <w:tblCellMar>
            <w:top w:w="0" w:type="dxa"/>
            <w:left w:w="108" w:type="dxa"/>
            <w:bottom w:w="0" w:type="dxa"/>
            <w:right w:w="108" w:type="dxa"/>
          </w:tblCellMar>
        </w:tblPrEx>
        <w:trPr>
          <w:trHeight w:val="211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328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进入全国银行间债券市场备案</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备案通知书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中国人民银行总行</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开展“双随机、一公开”监管，根据不同风险程度、信用水平，合理确定抽查比例。</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329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支付业务许可证核发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支付业务许可证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《中华人民共和国中国人民银行法》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中国人民银行总行</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不再要求申请人提供验资证明等材料。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1.开展“双随机、一公开”监管，发现违法违规行为的要依法查处并公开结果。2.加强信用监管，建立分类评级机制，根据评级结果采取差异化监管措施。3.依法及时处理投诉举报。4.支持行业协会发挥自律作用。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330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海关总署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进出口商品检验鉴定业务的检验许可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进出口商品检验鉴定机构资格证书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《中华人民共和国进出口商品检验法》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海关总署</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1.实现申请、审批全程网上办理。2.不再要求申请人提供住所证明、体系文件、股东证明等材料。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合理确定抽查比例。2.对有进出口质量安全问题、退运商品和投诉举报的企业实施重点监管，发现有违法违规行为的要依法查处。3.健全鉴定机构年报制度，对年报信息进行核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331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海关总署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口岸卫生许可证（涉及食品、饮用水）核发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国境口岸卫生许可证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《中华人民共和国国境卫生检疫法实施细则》</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主管海关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1.严格执行有关法律法规和标准，开展“双随机、一公开”监管，发现违法违规行为的要依法查处并公开结果。2.加强信用监管，向社会公布企业信用状况，对失信主体开展联合惩戒。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332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海关总署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免税商店设立审批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行政许可决定书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《中华人民共和国海关法》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海关总署</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1.对于口岸进、出境免税商店的设立，由拟设地直属海关代为接收申请文件并完成实地检查，将结果反馈海关总署。2.推动实现申请、审批全程网上办理。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开展“双随机、一公开”监管，根据不同风险程度、信用水平，合理确定抽查比例。</w:t>
            </w:r>
          </w:p>
        </w:tc>
      </w:tr>
      <w:tr>
        <w:tblPrEx>
          <w:tblCellMar>
            <w:top w:w="0" w:type="dxa"/>
            <w:left w:w="108" w:type="dxa"/>
            <w:bottom w:w="0" w:type="dxa"/>
            <w:right w:w="108" w:type="dxa"/>
          </w:tblCellMar>
        </w:tblPrEx>
        <w:trPr>
          <w:trHeight w:val="180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333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海关总署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保税物流中心（A型）设立审批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保税物流中心（A型）注册登记证书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《中华人民共和国海关法》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直属海关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开展“双随机、一公开”监管，根据不同风险程度、信用水平，合理确定抽查比例。</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334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海关总署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保税物流中心（B型）设立审批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保税物流中心（B型）注册登记证书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《中华人民共和国海关法》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海关总署会同财政部、税务总局、国家外汇局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每半年1次公布存量保税物流中心（B型）情况。</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开展“双随机、一公开”监管、跨部门联合监管等，对经营企业加强监管，发现违法违规行为的要依法查处。</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335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海关总署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出口监管仓库设立审批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出口监管仓库注册登记证书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《中华人民共和国海关法》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直属海关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开展“双随机、一公开”监管，根据不同风险程度、信用水平，合理确定抽查比例。</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336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海关总署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保税仓库设立审批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保税仓库注册登记证书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《中华人民共和国海关法》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直属海关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开展“双随机、一公开”监管，根据不同风险程度、信用水平，合理确定抽查比例。</w:t>
            </w:r>
          </w:p>
        </w:tc>
      </w:tr>
      <w:tr>
        <w:tblPrEx>
          <w:tblCellMar>
            <w:top w:w="0" w:type="dxa"/>
            <w:left w:w="108" w:type="dxa"/>
            <w:bottom w:w="0" w:type="dxa"/>
            <w:right w:w="108" w:type="dxa"/>
          </w:tblCellMar>
        </w:tblPrEx>
        <w:trPr>
          <w:trHeight w:val="270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337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海关总署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海关监管货物仓储审批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经营海关监管作业场所企业注册登记证书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《中华人民共和国海关法》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直属海关、隶属海关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1.实现申请、审批全程网上办理。2.取消许可证有效期，改为长期有效。</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开展“双随机、一公开”监管，根据不同风险程度、信用水平，合理确定抽查比例。</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338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海关总署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从事进出境检疫处理业务的单位认定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出入境检疫处理单位核准证书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《中华人民共和国进出境动植物检疫法实施条例》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直属海关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1.严格执行有关法律法规和标准，对检疫处理过程加强监管，对检疫处理效果进行监督评价。2.每年至少组织1次对检疫处理单位、工作人员及其操作情况的监督检查。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339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海关总署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出境动物及其产品、其他检疫物的生产、加工、存放单位注册登记</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出口××生产、加工、存放企业检验检疫注册登记证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《中华人民共和国进出境动植物检疫法实施条例》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直属海关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办理出境水生动物养殖场、中转场注册登记的，不再要求申请人提供养殖许可证、海域使用证、水质检测报告等材料。3.办理出口饲料生产企业注册登记的，不再要求申请人提供生产许可证明、产品审查批准文件等材料。4.办理饲养场注册登记的，不再要求申请人提供重点区域照片或视频资料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合理确定抽查比例。2.发现被境外通报的质量安全问题和违法违规行为的要依法查处。3.加强信用监管，完善黑名单制度，对失信主体开展联合惩戒。</w:t>
            </w:r>
          </w:p>
        </w:tc>
      </w:tr>
      <w:tr>
        <w:tblPrEx>
          <w:tblCellMar>
            <w:top w:w="0" w:type="dxa"/>
            <w:left w:w="108" w:type="dxa"/>
            <w:bottom w:w="0" w:type="dxa"/>
            <w:right w:w="108" w:type="dxa"/>
          </w:tblCellMar>
        </w:tblPrEx>
        <w:trPr>
          <w:trHeight w:val="327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340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海关总署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出境植物及其产品、其他检疫物的生产、加工、存放单位注册登记</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出口××生产、加工、存放企业检验检疫注册登记证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《中华人民共和国进出境动植物检疫法实施条例》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直属海关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开展“双随机、一公开”监管，根据不同风险程度、信用水平，合理确定抽查比例。2.发现被境外通报的质量安全问题和违法违规行为的要依法查处。3.加强信用监管，完善黑名单制度，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341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海关总署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进口可用作原料的固体废物国内收货人注册登记</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进口可用作原料的固体废物国内收货人注册登记证书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《中华人民共和国进出口商品检验法实施条例》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直属海关</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信用监管，通过现场检查、验证、追踪货物环保质量状况等方法加强监督检查，实施风险预警及快速反应管理，向社会公布企业信用状况。</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342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重要工业产品（除食品相关产品外）生产许可证核发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重要工业产品生产许可证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《中华人民共和国工业产品生产许可证管理条例》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市场监管总局；省级市场监管部门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将发证机关组织的发证前产品检验改为由企业在申请时提交具有资质的检验检测机构出具的产品检验合格报告。2.实现申请、审批全程网上办理。3.对省级市场监管部门审批的产品，除危险化学品外，在审批环节不再开展现场审查，企业提交申请单、产品检验合格报告、符合法律法规要求和保障质量安全承诺书后，经形式审查合格即发放许可证。</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对未经现场审查发放许可证的企业，审批机关要在发证后1个月内开展现场核查，对不具备生产条件、提供虚假材料的要依法处理。2.对为企业申请重要工业产品生产许可证出具检验报告的检验检测机构，市场监管部门要开展符合性检查，发现出具虚假报告的要依法严肃处理相关检验检测机构和获证企业。3.开展质量安全风险监测和产品质量监督抽查。</w:t>
            </w:r>
          </w:p>
        </w:tc>
      </w:tr>
      <w:tr>
        <w:tblPrEx>
          <w:tblCellMar>
            <w:top w:w="0" w:type="dxa"/>
            <w:left w:w="108" w:type="dxa"/>
            <w:bottom w:w="0" w:type="dxa"/>
            <w:right w:w="108" w:type="dxa"/>
          </w:tblCellMar>
        </w:tblPrEx>
        <w:trPr>
          <w:trHeight w:val="270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343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特种设备检验检测机构核准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特种设备检验检测机构核准证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《中华人民共和国特种设备安全法》</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《特种设备安全监察条例》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市场监管总局；省级市场监管部门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1.实现申请、审批全程网上办理并在网上公布审批程序、受理条件、办理标准，公开办理进度。2.采取政府购买服务方式确定鉴定评审机构，对申请人开展鉴定评审。3.将审批时限由30个工作日压减至25个工作日。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1.开展“双随机、一公开”监管，发现违法违规行为的要依法查处并公开结果。2.对有投诉举报和质量问题的企业实施重点监管。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344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特种设备生产单位许可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特种设备制造许可证、特种设备设计许可证、特种设备安装改造维修许可证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《中华人民共和国特种设备安全法》《国务院对确需保留的行政审批项目设定行政许可的决定》《特种设备安全监察条例》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市场监管总局；省级市场监管部门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将申请资料简化为许可申请书，不再将型式试验和监督检验作为审批前置条件。2.对许可周期内未发生行政处罚、责任事故、质量安全问题和质量投诉未结案等情况，且满足生产业绩有关规定的生产单位，在许可证书有效期满前，采取企业自愿承诺方式申请直接换证，取消鉴定评审要求，但不可连续两个许可周期申请直接换证。3.将审批时限由30个工作日压减至25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对有投诉举报和质量问题的企业实施重点监管。3.检验检测机构在开展型式试验和监督检验时对持证生产单位是否符合许可条件进行检查，发现问题的及时报告有关部门。4.针对通过自愿承诺申请直接换证的生产单位，发现提交的申请材料中有虚假内容的要依法处理。</w:t>
            </w:r>
          </w:p>
          <w:p>
            <w:pPr>
              <w:spacing w:line="280" w:lineRule="exact"/>
              <w:ind w:firstLine="0"/>
              <w:jc w:val="both"/>
              <w:rPr>
                <w:rFonts w:hint="eastAsia" w:ascii="仿宋_GB2312" w:hAnsi="仿宋_GB2312" w:eastAsia="仿宋_GB2312" w:cs="仿宋_GB2312"/>
              </w:rPr>
            </w:pPr>
          </w:p>
        </w:tc>
      </w:tr>
      <w:tr>
        <w:tblPrEx>
          <w:tblCellMar>
            <w:top w:w="0" w:type="dxa"/>
            <w:left w:w="108" w:type="dxa"/>
            <w:bottom w:w="0" w:type="dxa"/>
            <w:right w:w="108" w:type="dxa"/>
          </w:tblCellMar>
        </w:tblPrEx>
        <w:trPr>
          <w:trHeight w:val="411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345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移动式压力容器、气瓶充装单位许可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移动式压力容器充装许可证、气瓶充装许可证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《中华人民共和国特种设备安全法》</w:t>
            </w:r>
          </w:p>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《特种设备安全监察条例》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省级市场监管部门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30个工作日压减至25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对有投诉举报和发生充装事故的企业实施重点监管。3.针对通过自愿承诺申请直接换证的充装单位，发现提交的申请材料中有虚假内容的要依法处理。</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346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设立认证机构（风险等级高）审批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认证机构批准书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《中华人民共和国认证认可条例》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根据行业发展状况和技术特点，全面梳理修订认证领域目录，按照必要性和最简化原则，对认证领域实施分类管理，对风险等级高的认证领域准入实行优化审批服务。2.取消认证机构在登记注册等环节已经提交的申请材料，压减审批材料数量30%以上。3.将审批时限由45个工作日压减至20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合理确定抽查比例。2.依法及时处理投诉举报。3.加强对认证行业的监测，针对发现的普遍性问题和突出风险开展专项检查，确保不发生系统性、区域性风险。4.加强信用监管，完善认证领域黑名单制度，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347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从事强制性认证以及相关活动的认证机构指定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《中华人民共和国认证认可条例》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不再要求申请人提供法人登记证书和认证机构批准书等材料。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合理确定抽查比例。2.依法及时处理投诉举报。3.加强对认证行业的监测，针对发现的普遍性问题和突出风险开展专项检查，确保不发生系统性、区域性风险。</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348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从事强制性认证以及相关活动的实验室指定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《中华人民共和国认证认可条例》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市场监管总局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不再要求申请人提供法人登记证书等材料。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合理确定抽查比例。2.依法及时处理投诉举报。3.加强对认证行业的监测，针对发现的普遍性问题和突出风险开展专项检查，确保不发生系统性、区域性风险。</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349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广电总局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广播电视视频点播业务（甲种）审批（初审）</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省级广电部门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jc w:val="center"/>
              <w:rPr>
                <w:rFonts w:hint="eastAsia" w:ascii="仿宋_GB2312" w:hAnsi="仿宋_GB2312" w:eastAsia="仿宋_GB2312" w:cs="仿宋_GB2312"/>
                <w:sz w:val="21"/>
              </w:rPr>
            </w:pPr>
          </w:p>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省广电局</w:t>
            </w: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350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广电总局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广播电视视频点播业务（甲种）审批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广播电视视频点播业务许可证（甲种）</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广电总局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将专家评审时限由30个工作日压减至20个工作日。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351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广电总局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广播电视视频点播业务（乙种）审批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广播电视视频点播业务许可证（乙种）</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省级广电部门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1.不再要求申请人提供营业执照、酒店星级证明等材料。2.将审批时限由20个工作日压减至15个工作日。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352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广电总局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境外广播电视机构在华设立办事机构审批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国家广播电视总局关于同意在华设立办事处的批复</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《国务院对确需保留的行政审批项目设定行政许可的决定》《外国企业常驻代表机构登记管理条例》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广电总局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办理许可证件延期时，不再要求申请人提供市场监管、公安等部门出具的批准文件。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1.加强日常监管，发现违法违规行为的要依法查处并公开结果。2.依法及时处理投诉举报，对投诉举报等渠道反映问题多的机构实施重点监管。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353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广电总局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广播电视节目制作经营单位设立审批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广播电视节目制作经营许可证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《广播电视管理条例》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广电总局；省级广电部门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1.不再要求申请人提供法定代表人身份证明复印件、营业执照等材料。2.将审批时限由20个工作日压减至15个工作日。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通过日常监听监看、受理群众举报等方式对广播电视节目制作经营单位的节目制作经营情况进行监管，发现违法违规的要及时依法查处。</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354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广电总局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设立电视剧制作单位审批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电视剧制作许可证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《广播电视管理条例》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广电总局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办理电视剧制作许可证（乙种）时不再要求申请人提供题材规划立项批准文件复印件、广播电视节目制作经营许可证复印件。2.办理电视剧制作许可证（甲种）时不再要求申请人提供电视剧制作许可证（乙种）复印件、电视剧发行许可证复印件。3.将电视剧制作许可证（乙种）有效期限由180日延长至1年。</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通过日常监听监看、受理群众举报等方式对电视剧制作单位的电视剧制作情况进行监管，发现违法违规行为的要依法查处并公开结果。</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355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广电总局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信息网络传播视听节目许可证核发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信息网络传播视听节目许可证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广电总局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不再要求申请人提供营业执照、广播电视节目制作经营许可证、广播电视播出机构许可证等材料。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通过实地检查、监听监看等方式对网络视听节目内容和质量进行监测，对重点节目、疑似存在问题的节目组织专家进行评议，发现问题的要及时依法处理。3.依法及时处理投诉举报，对投诉举报等渠道反映问题多的机构实施重点监管。4.加强信用监管，向社会公布经营主体信用状况。5.发挥行业协会自律作用。</w:t>
            </w:r>
          </w:p>
        </w:tc>
      </w:tr>
      <w:tr>
        <w:tblPrEx>
          <w:tblCellMar>
            <w:top w:w="0" w:type="dxa"/>
            <w:left w:w="108" w:type="dxa"/>
            <w:bottom w:w="0" w:type="dxa"/>
            <w:right w:w="108" w:type="dxa"/>
          </w:tblCellMar>
        </w:tblPrEx>
        <w:trPr>
          <w:trHeight w:val="238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356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广电总局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卫星电视广播地面接收设施安装服务许可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卫星电视广播地面接收设施安装服务许可证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《卫星电视广播地面接收设施管理规定》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广电总局；省级广电部门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1.不再要求申请人提供营业执照、星级证明、营业场所证明、主要出资单位证明、验资证明等材料。2.将许可证有效期限由1年延长至2年。</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1.依法及时处理投诉举报。2.制定年度监管计划，采取实地暗访、专项检查等方式对卫星电视广播地面接收设施安装服务机构经营情况进行监管，发现违法违规行为的要依法查处并公开结果。</w:t>
            </w:r>
          </w:p>
        </w:tc>
      </w:tr>
      <w:tr>
        <w:tblPrEx>
          <w:tblCellMar>
            <w:top w:w="0" w:type="dxa"/>
            <w:left w:w="108" w:type="dxa"/>
            <w:bottom w:w="0" w:type="dxa"/>
            <w:right w:w="108" w:type="dxa"/>
          </w:tblCellMar>
        </w:tblPrEx>
        <w:trPr>
          <w:trHeight w:val="102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357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广电总局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跨省经营广播电视节目传送业务审批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广播电视节目传送业务经营许可证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广电总局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监看节目内容、受理群众举报等方式对广播电视节目传送业务进行监管，发现违法违规行为的要依法查处并公开结果。2.加强信用监管，向社会公布广播电视节目传送单位信用状况，对失信单位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358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广电总局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省级行政区域内经营广播电视节目传送业务审批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广播电视节目传送业务经营许可证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省级广电部门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通过监看节目内容、受理群众举报等方式对广播电视节目传送业务进行监管，发现违法违规行为的要依法查处并公开结果。2.加强信用监管，向社会公布广播电视节目传送单位信用状况，对失信单位开展联合惩戒。</w:t>
            </w:r>
          </w:p>
          <w:p>
            <w:pPr>
              <w:spacing w:line="280" w:lineRule="exact"/>
              <w:ind w:firstLine="0"/>
              <w:jc w:val="both"/>
              <w:rPr>
                <w:rFonts w:hint="eastAsia" w:ascii="仿宋_GB2312" w:hAnsi="仿宋_GB2312" w:eastAsia="仿宋_GB2312" w:cs="仿宋_GB2312"/>
              </w:rPr>
            </w:pP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359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体育总局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兴奋剂检测机构资质认定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兴奋剂检测机构许可证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《反兴奋剂条例》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体育总局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1.推广全程网上办理，推进体育领域信息数据共享应用。2.将审批时限由20个工作日压减至15个工作日。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360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体育总局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从事射击竞技体育运动单位审批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关于同意××设立射击竞技体育运动单位的批复</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《中华人民共和国枪支管理法》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省级体育部门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1.推广全程网上办理，推进体育领域信息数据共享应用。2.将审批时限由20个工作日压减至15个工作日。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361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国家统计局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涉外统计调查机构资格认定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中华人民共和国涉外调查许可证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《中华人民共和国统计法》《中华人民共和国统计法实施条例》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国家统计局；省级人民政府统计机构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在有关平台公布审批程序、受理条件和办理标准，公开办理进度。2.精简企业类申请机构审批材料，不再要求申请人提供营业执照等材料。3.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在有关平台上公示许可信息，接受投诉举报。2.对投诉举报的事项进行核查，依法查处违规经营行为。3.配合有关部门做好行政审批基础信息共享，提供涉外统计调查机构名单，在国家企业信用信息公示系统上统一归集公示。</w:t>
            </w:r>
          </w:p>
        </w:tc>
      </w:tr>
      <w:tr>
        <w:tblPrEx>
          <w:tblCellMar>
            <w:top w:w="0" w:type="dxa"/>
            <w:left w:w="108" w:type="dxa"/>
            <w:bottom w:w="0" w:type="dxa"/>
            <w:right w:w="108" w:type="dxa"/>
          </w:tblCellMar>
        </w:tblPrEx>
        <w:trPr>
          <w:trHeight w:val="381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362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从事出版物印刷经营活动企业（不含中外合资、合作企业）的设立、变更审批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印刷经营许可证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《印刷业管理条例》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省级新闻出版部门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1.推动实现申请、审批全程网上办理。2.将审批时限由60个工作日压减至40个工作日。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363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中外合资、合作印刷企业和外商独资包装装潢印刷企业的设立、变更审批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印刷经营许可证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《印刷业管理条例》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省级新闻出版部门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并在网上公布审批程序、受理条件、办理标准，公开办理进度。2.推动在线获取核验营业执照，外商投资企业批准证书，香港、澳门特别行政区政府有关机构颁发的香港、澳门服务提供者证明书，法定代表人身份证明，各方投资者的注册登记证明等材料。3.取消“经营包装装潢印刷品印刷业务的企业必须具备2台以上最近10年生产的胶印、凹印、柔印、丝印等及后序加工设备”的规定。4.将审批时限由60个工作日压减至40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1.开展“双随机、一公开”监管，发现违法违规行为的要依法查处并公开结果。2.依法及时处理投诉举报。3.推进部门间信息共享应用。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364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出版单位设立、变更审批（初审）</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rPr>
              <w:t>《出版管理条例》</w:t>
            </w:r>
          </w:p>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《音像制品管理条例》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省级新闻出版部门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1.不再要求申请人提供单位基本信息登记表。2.对涉及机构改革、文化企业公司制改制等内容的申请，开辟“绿色通道”，实行简易程序审批。</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1.开展“双随机、一公开”监管，强化出版内容质量监测和抽查，发现违法违规行为的要依法查处并公开结果。2.依法及时处理投诉举报，对被投诉举报单位实施重点监管。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365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图书出版单位设立、变更、合并、分立、设立分支机构审批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图书出版许可证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《出版管理条例》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1.不再要求申请人提供单位基本信息登记表。2.对涉及机构改革、文化企业公司制改制等内容的申请，开辟“绿色通道”，实行简易程序审批。</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1.开展“双随机、一公开”监管，强化出版内容质量监测和抽查，发现违法违规行为的要依法查处并公开结果。2.依法及时处理投诉举报，对被投诉举报单位实施重点监管。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366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音像出版单位设立、变更、合并、分立、设立分支机构审批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音像制品出版许可证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《出版管理条例》</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《音像制品管理条例》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1.不再要求申请人提供单位基本信息登记表。2.对涉及机构改革、文化企业公司制改制等内容的申请，开辟“绿色通道”，实行简易程序审批。</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1.开展“双随机、一公开”监管，强化出版内容质量监测和抽查，发现违法违规行为的要依法查处并公开结果。2.依法及时处理投诉举报，对被投诉举报单位实施重点监管。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367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电子出版物出版单位设立、变更、合并、分立、设立分支机构审批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电子出版物出版许可证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《出版管理条例》</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《音像制品管理条例》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1.不再要求申请人提供单位基本信息登记表。2.对涉及机构改革、文化企业公司制改制等内容的申请，开辟“绿色通道”，实行简易程序审批。</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1.开展“双随机、一公开”监管，强化出版内容质量监测和抽查，发现违法违规行为的要依法查处并公开结果。2.依法及时处理投诉举报，对被投诉举报单位实施重点监管。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368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网络出版单位设立、变更、合并、分立、设立分支机构审批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网络出版服务许可证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《出版管理条例》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1.不再要求申请人提供单位基本信息登记表。2.对涉及机构改革、文化企业公司制改制等内容的申请，开辟“绿色通道”，实行简易程序审批。</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1.开展“双随机、一公开”监管，强化出版内容质量监测和抽查，发现违法违规行为的要依法查处并公开结果。2.依法及时处理投诉举报，对被投诉举报单位实施重点监管。</w:t>
            </w:r>
          </w:p>
        </w:tc>
      </w:tr>
      <w:tr>
        <w:tblPrEx>
          <w:tblCellMar>
            <w:top w:w="0" w:type="dxa"/>
            <w:left w:w="108" w:type="dxa"/>
            <w:bottom w:w="0" w:type="dxa"/>
            <w:right w:w="108" w:type="dxa"/>
          </w:tblCellMar>
        </w:tblPrEx>
        <w:trPr>
          <w:trHeight w:val="210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369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报纸出版单位设立、变更、合并、分立、设立分支机构审批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报纸出版许可证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《出版管理条例》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不再要求申请人提供单位基本信息登记表。</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1.强化报纸样本数据监测、跟踪和评估，加大报纸质量检查力度。2.扩大纸质报纸审读及借助网络手段审读的覆盖面。</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370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期刊出版单位设立、变更、合并、分立、设立分支机构审批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期刊出版许可证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《出版管理条例》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1.不再要求申请人提供单位基本信息登记表。2.期刊出版单位申请变更名称的，不再要求申请人提供其与主办单位之间隶属关系或出资关系的证明材料。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1.开展“双随机、一公开”监管，强化期刊年检和审读，发现违法违规行为的要依法查处并公开结果。2.依法及时处理投诉举报。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371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出版单位变更资本结构审批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出版许可证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《出版管理条例》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不再要求申请人提供单位基本信息登记表。</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1.开展“双随机、一公开”监管，发现违法违规行为的要依法查处并公开结果。2.依法及时处理投诉举报，对被投诉举报单位实施重点监管。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372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专项出版业务范围变更审批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图书出版许可证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《出版管理条例》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将审批时限由60个工作日压减至30个工作日。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1.开展“双随机、一公开”监管，强化出版内容质量监测和抽查，发现违法违规行为的要依法查处并公开结果。2.依法及时处理投诉举报，对被投诉举报和有质量问题的单位实施重点监管。</w:t>
            </w:r>
          </w:p>
        </w:tc>
      </w:tr>
      <w:tr>
        <w:tblPrEx>
          <w:tblCellMar>
            <w:top w:w="0" w:type="dxa"/>
            <w:left w:w="108" w:type="dxa"/>
            <w:bottom w:w="0" w:type="dxa"/>
            <w:right w:w="108" w:type="dxa"/>
          </w:tblCellMar>
        </w:tblPrEx>
        <w:trPr>
          <w:trHeight w:val="210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373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出版物进口经营单位设立、变更、合并、分立、设立分支机构审批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出版物进口经营许可证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《出版管理条例》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不再要求申请人提供单位基本信息登记表。</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开展“双随机、一公开”监管，发现违法违规行为的要依法查处并公开结果。</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374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境外出版机构在境内设立办事机构审批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p>
            <w:pPr>
              <w:spacing w:line="280" w:lineRule="exact"/>
              <w:ind w:firstLine="0" w:firstLineChars="0"/>
              <w:jc w:val="center"/>
              <w:rPr>
                <w:rFonts w:hint="eastAsia" w:ascii="仿宋_GB2312" w:hAnsi="仿宋_GB2312" w:eastAsia="仿宋_GB2312" w:cs="仿宋_GB2312"/>
                <w:sz w:val="21"/>
              </w:rPr>
            </w:pP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不再要求申请人提供单位基本信息登记表。</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1.开展“双随机、一公开”监管，发现违法违规行为的要依法查处并公开结果。2.制定境外出版机构在中国境内设立办事机构相关管理办法。</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375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音像复制单位设立、变更审批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复制经营许可证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《音像制品管理条例》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省级新闻出版部门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1.推动实现申请、审批全程网上办理。2.将审批时限由20个工作日压减至13个工作日。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376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电子出版物复制单位设立、变更审批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复制经营许可证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《音像制品管理条例》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省级新闻出版部门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1.推动实现申请、审批全程网上办理。2.将审批时限由20个工作日压减至13个工作日。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377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出版物批发单位设立、变更审批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出版物经营许可证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《出版管理条例》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省级新闻出版部门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1.开展“双随机、一公开”监管，发现违法违规行为的要依法查处并公开结果。2.依法及时处理投诉举报。3.推进部门间信息共享应用。</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378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中学小学教科书出版资质审批（初审）</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《出版管理条例》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省级新闻出版部门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不再要求申请人提供近5年内出版单位出版的与所申请出版资质相关的代表性出版物，改为审批部门向相关部门了解该单位代表性出版物情况。</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1.开展“双随机、一公开”监管，强化出版内容质量监测和抽查，发现违法违规行为的要依法查处并公开结果。2.依法及时处理投诉举报，对被投诉举报单位实施重点监管。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379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中学小学教科书出版资质审批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图书出版许可证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《出版管理条例》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不再要求申请人提供近5年内出版单位出版的与所申请出版资质相关的代表性出版物，改为审批部门向相关部门了解该单位代表性出版物情况。</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1.开展“双随机、一公开”监管，强化出版内容质量监测和抽查，发现违法违规行为的要依法查处并公开结果。2.依法及时处理投诉举报，对被投诉举报单位实施重点监管。</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380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中学小学教科书发行资质审批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出版物经营许可证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《出版管理条例》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不再要求申请人提供关于企业信息管理系统及自有物流配送体系情况的证明材料，改为要求申请单位提供加盖其公章的文字说明，并实地核查其是否具备相应准入条件。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w:t>
            </w:r>
          </w:p>
        </w:tc>
      </w:tr>
      <w:tr>
        <w:tblPrEx>
          <w:tblCellMar>
            <w:top w:w="0" w:type="dxa"/>
            <w:left w:w="108" w:type="dxa"/>
            <w:bottom w:w="0" w:type="dxa"/>
            <w:right w:w="108" w:type="dxa"/>
          </w:tblCellMar>
        </w:tblPrEx>
        <w:trPr>
          <w:trHeight w:val="210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381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国家新闻出版署</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新闻单位设立驻地方机构审批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新闻单位驻地方机构许可证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省级新闻出版部门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1.实现申请、审批全程网上办理。2.将审批时限由20个工作日压减至18个工作日。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1.向社会公开新闻单位驻地方机构许可、监管、处罚等信息，加强社会监督。2.开展“双随机、一公开”监管，实行年度核验和综合评估，发现违法违规行为的要依法查处并公开结果。</w:t>
            </w:r>
          </w:p>
        </w:tc>
      </w:tr>
      <w:tr>
        <w:tblPrEx>
          <w:tblCellMar>
            <w:top w:w="0" w:type="dxa"/>
            <w:left w:w="108" w:type="dxa"/>
            <w:bottom w:w="0" w:type="dxa"/>
            <w:right w:w="108" w:type="dxa"/>
          </w:tblCellMar>
        </w:tblPrEx>
        <w:trPr>
          <w:trHeight w:val="109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382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国家网信办</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互联网新闻信息服务许可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互联网新闻信息服务许可证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《互联网信息服务管理办法》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国家网信办；省级网信部门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完善日常检查和定期检查相结合的监管制度，依法对互联网新闻信息服务活动实施监督检查。2.畅通投诉举报渠道，依法及时处理投诉举报。3.建立互联网新闻信息服务网络信用档案，健全失信黑名单制度。4.加强部门间信息共享和协作配合，依法开展联合执法。</w:t>
            </w:r>
          </w:p>
        </w:tc>
      </w:tr>
      <w:tr>
        <w:tblPrEx>
          <w:tblCellMar>
            <w:top w:w="0" w:type="dxa"/>
            <w:left w:w="108" w:type="dxa"/>
            <w:bottom w:w="0" w:type="dxa"/>
            <w:right w:w="108" w:type="dxa"/>
          </w:tblCellMar>
        </w:tblPrEx>
        <w:trPr>
          <w:trHeight w:val="4981"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383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国家网信办</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外国机构在中国境内提供金融信息的服务业务审批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外国机构在中国境内提供金融信息许可证、外国机构在中国境内投资设立企业提供金融信息服务许可证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国家网信办</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1.及时掌握用户情况，定期对备案用户的信息进行核查。2.强化境外金融信息服务终端同步审视，发现问题及时依法处理。3.畅通投诉举报渠道，依法及时处理投诉举报。</w:t>
            </w:r>
          </w:p>
        </w:tc>
      </w:tr>
      <w:tr>
        <w:tblPrEx>
          <w:tblCellMar>
            <w:top w:w="0" w:type="dxa"/>
            <w:left w:w="108" w:type="dxa"/>
            <w:bottom w:w="0" w:type="dxa"/>
            <w:right w:w="108" w:type="dxa"/>
          </w:tblCellMar>
        </w:tblPrEx>
        <w:trPr>
          <w:trHeight w:val="94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384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中国气象局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电力、通信防雷装置检测单位资质认定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雷电防护装置检测资质证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《气象灾害防御条例》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中国气象局会同国务院有关部门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1.实现申请、审批全程网上办理。2.不再要求申请人提供营业执照原件和经营场所产权证明原件等材料。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1.开展“双随机、一公开”监管，发现违法违规行为的要依法查处并公开结果。2.加强信用监管，对失信主体开展联合惩戒。3.依法及时处理投诉举报。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385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中国气象局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除电力、通信外的防雷装置检测单位资质认定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雷电防护装置检测资质证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《国务院对确需保留的行政审批项目设定行政许可的决定》《气象灾害防御条例》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省级气象主管机构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1.实现申请、审批全程网上办理。2.不再要求申请人提供营业执照原件和经营场所产权证明原件等材料。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1.开展“双随机、一公开”监管，发现违法违规行为的要依法查处并公开结果。2.加强信用监管，对失信主体开展联合惩戒。3.依法及时处理投诉举报。</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386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中资银行业金融机构及其分支机构设立、变更、终止以及业务范围审批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rPr>
              <w:t>机构设立类：金融许可证</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2.变更名称、住所：金融许可证（换发）3.其他：批准文件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《中华人民共和国银行业监督管理法》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《中华人民共和国商业银行法》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不再要求申请人提供营业执照复印件、中国银保监会出具的金融许可证复印件等材料。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1.通过现场检查、非现场监管等方式，密切关注风险，发现违法违规行为的要依法查处。2.加强信用监管，对失信主体开展联合惩戒。3.针对重点领域风险，健全有关制度，建立风险防范长效机制。</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387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中资银行业金融机构董事和高级管理人员任职资格核准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《中华人民共和国银行业监督管理法》《中华人民共和国商业银行法》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不再要求申请人提供拟任人个人及其主要家庭成员的征信报告等材料，改为申请人作出有关承诺。</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持续对有关人员履职情况进行监管，加大对违法违规经营活动有关人员的处罚力度。2.加强信用监管，根据违法违规情形和失信程度，对有关人员通过行业通报、社会公示、市场禁入等方式进行处理，督促有关人员依法履职。</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388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商业银行、政策性银行、金融资产管理公司对外从事股权投资及商业银行综合化经营审批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不再要求申请人提供被投资方股东（大）会同意吸收商业银行投资的决议等材料。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1.通过现场检查、非现场监管等方式，密切关注风险，发现违法违规行为的要依法查处。2.加强信用监管，对失信主体开展联合惩戒。3.针对重点领域风险，健全有关制度，建立风险防范长效机制。</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389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外资银行营业性机构及其分支机构设立、变更及终止审批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right="0" w:right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rPr>
              <w:t>机构设立类：金融许可证</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right="0" w:right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w:t>
            </w:r>
            <w:r>
              <w:rPr>
                <w:rFonts w:hint="eastAsia" w:ascii="仿宋_GB2312" w:hAnsi="仿宋_GB2312" w:eastAsia="仿宋_GB2312" w:cs="仿宋_GB2312"/>
                <w:sz w:val="21"/>
              </w:rPr>
              <w:t>变更名称、住所：金融许可证（换发）</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right="0" w:right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3.其他：批准文件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《中华人民共和国银行业监督管理法》</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《中华人民共和国外资银行管理条例》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对于申请筹建外商独资银行分行、中外合资银行分行的，不再要求申请人提供营业执照复印件等材料。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1.加强信息共享，通过有关信息平台获取有关信息。2.通过现场检查、非现场监管等方式，密切关注风险，发现违法违规行为的要依法查处。</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390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外资银行调整业务范围和增加业务品种审批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《中华人民共和国银行业监督管理法》《中华人民共和国外资银行管理条例》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对于申请开展人民币业务的，不再要求申请人提供可行性研究报告等材料。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1.督促外资银行在开展有关业务前做好制度、信息系统、人员等方面筹备工作。2.通过现场检查、非现场监管等方式，密切关注风险，发现违法违规行为的要依法查处。</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391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外资银行董事、高级管理人员、首席代表任职资格核准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《中华人民共和国银行业监督管理法》《中华人民共和国外资银行管理条例》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将非中国银保监会直接监管的外资法人银行董事长、行长任职资格核准由中国银保监会下放至拟任职机构所在地银保监局。</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1.加强系统内监管培训，确保全国监管标准一致。2.通过监管约谈、走访督察等方式，督促有关人员依法履职。</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392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非银行金融机构（分支机构）设立、变更、终止以及业务范围审批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1.机构设立类：金融许可证</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2.变更名称、住所：金融许可证（换发）</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3.其他：批准文件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《中华人民共和国银行业监督管理法》《中华人民共和国商业银行法》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不再要求申请人提供营业执照复印件、中国银保监会出具的金融许可证复印件等材料。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1.通过现场检查、非现场监管等方式，密切关注风险，发现违法违规行为的要依法查处。2.加强信用监管，对失信主体开展联合惩戒。3.针对重点领域风险，健全有关制度，建立风险防范长效机制。</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393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非银行金融机构董事和高级管理人员任职资格核准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《中华人民共和国银行业监督管理法》《中华人民共和国商业银行法》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不再要求申请人提供拟任人个人征信报告等材料，改为申请人作出有关承诺。</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持续对有关人员履职情况进行监管，加大对违法违规经营活动有关人员的处罚力度。2.加强信用监管，根据违法违规情形和失信程度，对有关人员采取行业通报、社会公示、市场禁入等方式处理，督促有关人员依法履职。</w:t>
            </w:r>
          </w:p>
        </w:tc>
      </w:tr>
      <w:tr>
        <w:tblPrEx>
          <w:tblCellMar>
            <w:top w:w="0" w:type="dxa"/>
            <w:left w:w="108" w:type="dxa"/>
            <w:bottom w:w="0" w:type="dxa"/>
            <w:right w:w="108" w:type="dxa"/>
          </w:tblCellMar>
        </w:tblPrEx>
        <w:trPr>
          <w:trHeight w:val="5827"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394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保险公司及其分支机构设立审批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1.保险公司设立：保险公司法人许可证</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2.分支机构设立：经营保险业务许可证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《中华人民共和国保险法》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1.不再要求申请人在开业验收报告中提供保险机构和高级管理人员管理信息系统客户端程序生成的电子化数据文件等材料。2.将政策性保险公司分支机构开业审批权限由中国银保监会下放至所在地银保监局。</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1.通过现场检查、非现场监管等方式，密切关注风险，发现违法违规行为的要依法查处。2.针对重点领域风险，健全有关制度，建立风险防范长效机制。</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395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保险公司重大事项变更审批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1.变更名称、公司分立或合并、修改公司章程：保险公司法人许可证（换发）</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2.分支机构变更营业场所：经营保险业务许可证（换发）</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3.其他：批准文件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《中华人民共和国保险法》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保险公司因变更注册资本等前置审批事项申请修改公司章程的，无需审批，改为报告制。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1.通过现场检查、非现场监管等方式，密切关注风险，发现违法违规行为的要依法查处。2.针对重点领域风险，健全有关制度，建立风险防范长效机制。</w:t>
            </w:r>
          </w:p>
        </w:tc>
      </w:tr>
      <w:tr>
        <w:tblPrEx>
          <w:tblCellMar>
            <w:top w:w="0" w:type="dxa"/>
            <w:left w:w="108" w:type="dxa"/>
            <w:bottom w:w="0" w:type="dxa"/>
            <w:right w:w="108" w:type="dxa"/>
          </w:tblCellMar>
        </w:tblPrEx>
        <w:trPr>
          <w:trHeight w:val="214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396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保险公司的董事、监事和高级管理人员任职资格审批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《中华人民共和国保险法》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1.除政策性保险公司外，不再要求申请人提供拟任人综合鉴定等材料。2.对曾经取得保险公司董事、监事和高级管理人员任职资格的人员，再次申请同类性质任职资格的，不再进行任职资格考试。</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持续对有关人员履职情况进行监管，加大对违法违规经营活动有关人员的处罚力度。2.根据违法违规情形和失信程度，对有关人员通过行业通报、社会公示、市场禁入等方式进行处理，督促有关人员依法履职。</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397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保险资产管理公司及其分支机构设立和终止审批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法人机构设立类：保险资产管理公司法人许可证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《中华人民共和国保险法》《国务院对确需保留的行政审批项目设定行政许可的决定》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不再要求申请人在筹建申请材料中提供筹建负责人的任职资格申请书、身份证明、学历和学位证书复印件等材料。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1.通过现场检查、非现场监管等方式,密切关注风险，发现违法违规行为的要依法查处。2.针对重点领域风险，健全有关制度，建立风险防范长效机制。</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398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保险资产管理公司重大事项变更审批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1.不再要求申请人在变更营业场所申请材料中提供新营业场所符合办公条件的情况报告等材料。2.不再要求申请人在变更业务范围申请材料中提供业务范围变更后的可行性报告等材料。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1.通过现场检查、非现场监管等方式，密切关注风险，发现违法违规行为的要依法查处。2.针对重点领域风险，健全有关制度，建立风险防范长效机制。3.压实机构主体责任，强化行业自律管理。</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399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保险资产管理公司高级管理人员资格核准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不再要求申请人提供对拟任人的综合鉴定等材料。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持续对有关人员履职情况进行监管，加大对从事违法违规经营活动有关人员的处罚力度。2.根据违法违规情形和失信程度，对有关人员通过行业通报、社会公示、市场禁入等方式进行处理，督促有关人员依法履职。</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400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保险集团公司设立、合并、分立、变更、解散审批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保险公司法人许可证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保险集团公司因变更注册资本等前置审批事项申请修改公司章程的，无需审批，改为报告制。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1.通过现场检查、非现场监管等方式，密切关注风险，发现违法违规行为的要依法查处。2.针对重点领域风险，健全有关制度，建立风险防范长效机制。3.加强与有关部门的信息共享，定期组织交流会议。</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401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保险集团公司高级管理人员资格核准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不再要求申请人提供对拟任人的综合鉴定等材料。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完善履职评价制度，在日常监管中加强对有关人员的监管和跟踪评价，加大对从事违法违规经营活动有关人员的处罚力度。2.根据违法违规情形和失信程度，对有关人员通过行业通报、社会公示、市场禁入等方式进行处理，督促有关人员依法履职。</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402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保险控股公司设立、合并、分立、变更、解散审批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保险公司法人许可证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保险控股公司因变更注册资本等前置审批事项申请修改公司章程的，无需审批，改为报告制。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1.通过现场检查、非现场监管等方式，密切关注风险，发现违法违规行为的要依法查处。2.针对重点领域风险，健全有关制度，建立风险防范长效机制。3.加强部门间信息共享，定期组织交流会议。</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403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保险控股公司高级管理人员资格核准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不再要求申请人提供对拟任人的综合鉴定等材料。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完善履职评价制度，在日常监管中加强对有关人员的监管和跟踪评价，加大对从事违法违规经营活动有关人员的处罚力度。2.根据违法违规情形和失信程度，对有关人员通过行业通报、社会公示、市场禁入等方式进行处理，督促有关人员依法履职。</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404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专属自保组织和相互保险组织设立、合并、分立、变更和解散审批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保险公司法人许可证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专属自保组织和相互保险组织因变更注册资本等前置审批事项申请修改公司章程的，无需审批，改为报告制。</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1.通过现场检查、非现场监管等方式，密切关注风险，发现违法违规行为的要依法查处。2.针对重点领域风险，健全有关制度，建立风险防范长效机制。</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405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专属自保、相互保险等组织高级管理人员资格核准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不再要求申请人提供对拟任人的综合鉴定材料。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完善履职评价制度，在日常监管中加强对有关人员的监管和跟踪评价，加大对违法违规经营活动有关人员的处罚力度。2.根据违法违规情形和失信程度，对有关人员通过行业通报、社会公示、市场禁入等方式进行处理，督促有关人员依法履职。</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406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保险代理机构设立审批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经营保险代理业务许可证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《中华人民共和国保险法》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1.通过现场检查、非现场监管等方式，密切关注风险，发现违法违规行为的要依法查处。2.加强信用监管，对失信主体开展联合惩戒。3.针对重点领域风险，健全有关制度，建立风险防范长效机制。</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407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保险代理机构高级管理人员任职资格核准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p>
            <w:pPr>
              <w:spacing w:line="280" w:lineRule="exact"/>
              <w:ind w:firstLine="0" w:firstLineChars="0"/>
              <w:jc w:val="center"/>
              <w:rPr>
                <w:rFonts w:hint="eastAsia" w:ascii="仿宋_GB2312" w:hAnsi="仿宋_GB2312" w:eastAsia="仿宋_GB2312" w:cs="仿宋_GB2312"/>
                <w:sz w:val="21"/>
              </w:rPr>
            </w:pP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《中华人民共和国保险法》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不再要求申请人提供对拟任人的综合鉴定等材料。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完善履职评价制度，在日常监管中加强对有关人员的监管和跟踪评价，加大对从事违法违规经营活动有关人员的处罚力度。2.根据违法违规情形和失信程度，对有关人员通过行业通报、社会公示、市场禁入等方式进行处理，督促有关人员依法履职。</w:t>
            </w:r>
          </w:p>
        </w:tc>
      </w:tr>
      <w:tr>
        <w:tblPrEx>
          <w:tblCellMar>
            <w:top w:w="0" w:type="dxa"/>
            <w:left w:w="108" w:type="dxa"/>
            <w:bottom w:w="0" w:type="dxa"/>
            <w:right w:w="108" w:type="dxa"/>
          </w:tblCellMar>
        </w:tblPrEx>
        <w:trPr>
          <w:trHeight w:val="238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408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保险经纪机构设立审批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经营保险经纪业务许可证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《中华人民共和国保险法》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1.通过现场检查、非现场监管等方式，密切关注风险，发现违法违规行为的要依法查处。2.加强信用监管，对失信主体开展联合惩戒。3.针对重点领域风险，健全有关制度，建立风险防范长效机制。</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409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保险经纪机构高级管理人员任职资格核准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《中华人民共和国保险法》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不再要求申请人提供对拟任人的综合鉴定等材料。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完善履职评价制度，在日常监管中加强对有关人员的监管和跟踪评价，加大对从事违法违规经营活动有关人员的处罚力度。2.根据违法违规情形和失信程度，对有关人员通过行业通报、社会公示、市场禁入等方式进行处理，督促有关人员依法履职。</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410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关系社会公众利益的保险险种、依法实行强制保险的险种和新开发的人寿保险险种等的保险条款和保险费率审批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《中华人民共和国保险法》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对于使用中国保险行业协会车险示范条款的保险产品，不再要求申请人报送保险条款等材料。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1.通过现场检查、非现场监管等方式，密切关注风险，发现违法违规行为的要依法查处。2.针对重点领域风险，健全有关制度，建立风险防范长效机制。</w:t>
            </w:r>
          </w:p>
        </w:tc>
      </w:tr>
      <w:tr>
        <w:tblPrEx>
          <w:tblCellMar>
            <w:top w:w="0" w:type="dxa"/>
            <w:left w:w="108" w:type="dxa"/>
            <w:bottom w:w="0" w:type="dxa"/>
            <w:right w:w="108" w:type="dxa"/>
          </w:tblCellMar>
        </w:tblPrEx>
        <w:trPr>
          <w:trHeight w:val="2387"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411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保险公司拓宽保险资金运用形式审批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不再要求申请人在保险公司境外投资申请材料中提供偿付能力报告等材料。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1.加强对资产负债管理的监管和动态监测。2.通过现场检查、非现场监管等方式，密切关注风险，发现违法违规行为的要依法查处。3.强化保险公司拓宽保险资金运用形式分类监管。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412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融资担保公司设立、变更审批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融资担保业务经营许可证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《融资担保公司监督管理条例》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省级人民政府确定的部门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将审批时限由30个工作日压减至20个工作日。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1.运用大数据等技术手段实时监测风险，加强现场检查和非现场监管。2.建立与有关部门的监管协调机制和信息共享机制。</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413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中国银保监会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设立典当行及分支机构审批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典当经营许可证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省级人民政府金融监管部门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将典当经营许可证的有效期限由6年延长至10年。</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1.通过年审、现场检查、非现场监管等方式，加强事中事后监管，发现违法违规行为的要依法查处。2.进一步完善监管指标体系，建立分级、分类监管制度，强化市场约束，提高监管透明度。</w:t>
            </w:r>
          </w:p>
        </w:tc>
      </w:tr>
      <w:tr>
        <w:tblPrEx>
          <w:tblCellMar>
            <w:top w:w="0" w:type="dxa"/>
            <w:left w:w="108" w:type="dxa"/>
            <w:bottom w:w="0" w:type="dxa"/>
            <w:right w:w="108" w:type="dxa"/>
          </w:tblCellMar>
        </w:tblPrEx>
        <w:trPr>
          <w:trHeight w:val="294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414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证券公司设立审批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批准文件、中华人民共和国经营证券期货业务许可证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《中华人民共和国证券法》《证券公司监督管理条例》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1.推动实现申请、审批全程网上办理。2.网上公布服务指南，公开受理进度、反馈意见、审批结果等情况。</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415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证券公司变更重大事项审批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批准文件、中华人民共和国经营证券期货业务许可证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《中华人民共和国证券法》</w:t>
            </w:r>
          </w:p>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《证券公司监督管理条例》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1.不再要求申请人提供法律意见书等材料。2.将证券业务许可证、基金业务许可证统一为经营证券期货业务许可证。3.在网上公开服务指南、受理进度、审批结果等。4.推动实现申请、审批全程网上办理。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CellMar>
            <w:top w:w="0" w:type="dxa"/>
            <w:left w:w="108" w:type="dxa"/>
            <w:bottom w:w="0" w:type="dxa"/>
            <w:right w:w="108" w:type="dxa"/>
          </w:tblCellMar>
        </w:tblPrEx>
        <w:trPr>
          <w:trHeight w:val="5777"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416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基金托管人资格核准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批准文件、中华人民共和国经营证券期货业务许可证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《中华人民共和国证券投资基金法》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将审批流程由申请人筹备、通过现场检查再批准，改为先批准、申请人筹备并通过现场检查再开展业务。2.不再要求申请人在批复阶段提供执业人员基本情况、安全保管基金财产有关条件报告、基金清算和交割系统运行测试报告、办公场所平面图、安全监控系统安装调试情况报告、基金托管业务备份系统设计方案和应急处理方案、应急处理能力测试报告、法律意见书等材料。3.将证券业务许可证、基金业务许可证统一为经营证券期货业务许可证。4.在网上公开服务指南、受理进度、审批结果等。5.推动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p>
            <w:pPr>
              <w:spacing w:line="280" w:lineRule="exact"/>
              <w:ind w:firstLine="0" w:firstLineChars="0"/>
              <w:jc w:val="both"/>
              <w:rPr>
                <w:rFonts w:hint="eastAsia" w:ascii="仿宋_GB2312" w:hAnsi="仿宋_GB2312" w:eastAsia="仿宋_GB2312" w:cs="仿宋_GB2312"/>
                <w:sz w:val="21"/>
              </w:rPr>
            </w:pP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417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公募基金管理公司设立、公募基金管理人资格审批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批准文件、中华人民共和国经营证券期货业务许可证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《中华人民共和国证券投资基金法》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将公募基金管理人资格审批流程由申请人筹备、通过现场检查再批准，改为先批准、申请人筹备并通过现场检查再开展业务。2.不再要求申请人在公募基金管理人资格审批批复阶段提供风险控制指标监管报表、证监局出具的现场检查报告、行业监管（自律管理）部门出具的意见、法律意见书等材料。3.将证券业务许可证、基金业务许可证统一为经营证券期货业务许可证。4.在网上公开服务指南、受理进度、审批结果等。5.推动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CellMar>
            <w:top w:w="0" w:type="dxa"/>
            <w:left w:w="108" w:type="dxa"/>
            <w:bottom w:w="0" w:type="dxa"/>
            <w:right w:w="108" w:type="dxa"/>
          </w:tblCellMar>
        </w:tblPrEx>
        <w:trPr>
          <w:trHeight w:val="384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418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公募基金管理公司变更重大事项审批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批准文件、中华人民共和国经营证券期货业务许可证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《中华人民共和国证券投资基金法》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在批复阶段提供具有境外投资管理相关经验人员的教育经历、工作经验、从业资格、专业职称等基本情况介绍和法律意见书等材料。2.将证券业务许可证、基金业务许可证统一为经营证券期货业务许可证。3.在网上公开服务指南、受理进度、审批结果等。4.推动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419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基金服务机构注册</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批准文件、中华人民共和国经营证券期货业务许可证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《中华人民共和国证券投资基金法》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中国证监会及其派出机构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1.不再要求申请人提供法律意见书等材料。2.将证券业务许可证、基金业务许可证统一为经营证券期货业务许可证。3.在网上公开服务指南、受理进度、审批结果等。4.推动实现申请、审批全程网上办理。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申请设立期货交易场所的审批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《期货交易管理条例》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1.推动实现申请、审批全程网上办理。2.每半年1次公布存量情况。</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1.要求期货交易场所建立健全相关制度，加强对交易结算活动的风险控制，加大对会员、工作人员的监管力度。2.加强现场检查。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申请设立期货专门结算机构的审批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《期货交易管理条例》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1.推动实现申请、审批全程网上办理。2.每半年1次公布存量情况。</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1.要求期货专门结算机构建立健全相关制度，加强对结算相关活动的风险控制和工作人员的监督管理。2.根据市场情况及重点工作安排，加强现场检查。</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422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期货公司设立、合并、分立、停业、解散或者破产，变更业务范围、注册资本、5%以上股权的审批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批准文件、中华人民共和国经营证券期货业务许可证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《期货交易管理条例》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1.推动实现申请、审批全程网上办理。2.在网上公开服务指南、受理进度、审批结果等。3.不再要求申请人提供可通过部门间信息共享获取的企业登记注册等相关材料。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1.开展“双随机、一公开”监管。2.强化对关联交易的日常监管，发现违法违规行为的要依法查处。3.强化对公司治理的监管，督促期货公司股东按期报送股权变动等信息。</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423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期货公司境内及境外期货经纪业务、期货投资咨询业务许可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批准文件、中华人民共和国经营证券期货业务许可证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《期货交易管理条例》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1.推动实现申请、审批全程网上办理。2.在网上公开服务指南、受理进度、审批结果等。3.不再要求申请人提供可通过部门间信息共享获取的企业登记注册等相关材料。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1.开展“双随机、一公开”监管。2.加强日常监管，发现违法违规行为的要依法查处。</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424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资信评级机构从事证券服务业审批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批准文件、中华人民共和国证券市场资信评级业务许可证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《中华人民共和国证券法》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1.推动实现申请、审批全程网上办理。2.网上公开服务指南、受理进度、审批结果等。3.不再要求申请人提供法律意见书等材料。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1.健全相关机构执业规则和自律规则。2.落实辖区监管责任，强化一线监管和自律管理职能，加强行政监管、自律管理、稽查执法和刑事追责的衔接配合。</w:t>
            </w:r>
          </w:p>
        </w:tc>
      </w:tr>
      <w:tr>
        <w:tblPrEx>
          <w:tblCellMar>
            <w:top w:w="0" w:type="dxa"/>
            <w:left w:w="108" w:type="dxa"/>
            <w:bottom w:w="0" w:type="dxa"/>
            <w:right w:w="108" w:type="dxa"/>
          </w:tblCellMar>
        </w:tblPrEx>
        <w:trPr>
          <w:trHeight w:val="350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425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财务顾问机构从事证券服务业审批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批准文件、中华人民共和国经营证券期货业务许可证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《中华人民共和国证券法》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1.推动实现申请、审批全程网上办理。2.网上公布服务指南，公开受理进度、反馈意见、审批结果等情况。</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加强非现场检查和现场监管，及时处理投诉举报，发现违法违规行为的要依法查处并公开结果。</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426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投资咨询机构从事证券服务业审批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批准文件、中华人民共和国经营证券期货业务许可证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《中华人民共和国证券法》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1.推动实现申请、审批全程网上办理。2.网上公布服务指南，公开受理进度、反馈意见、审批结果等情况。</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1.强化股权变更管理。2.加强对分支机构的合规管控。3.加大对违法违规行为的查处力度。</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427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境外机构投资者资格审批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批准文件、中华人民共和国经营证券期货业务许可证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《中华人民共和国证券投资基金法》《国务院对确需保留的行政审批项目设定行政许可的决定》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1.取消资产管理规模等准入条件。2.不再要求申请人提供投资计划书、审计报告等材料。3.在网上公开服务指南、受理进度、审批结果等。4.推动实现申请、审批全程网上办理。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1.建立信息共享和监管协作机制，及时发现和处置跨市场异常交易行为。2.强化穿透式监管要求。3.细化合格投资者和托管人的违规情形，明确监管职责和处罚措施，加大查处力度。</w:t>
            </w:r>
          </w:p>
        </w:tc>
      </w:tr>
      <w:tr>
        <w:tblPrEx>
          <w:tblCellMar>
            <w:top w:w="0" w:type="dxa"/>
            <w:left w:w="108" w:type="dxa"/>
            <w:bottom w:w="0" w:type="dxa"/>
            <w:right w:w="108" w:type="dxa"/>
          </w:tblCellMar>
        </w:tblPrEx>
        <w:trPr>
          <w:trHeight w:val="265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428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证券交易所的设立和解散审核、证券登记结算机构设立和解散审批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《中华人民共和国证券法》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1.推动实现申请、审批全程网上办理。2.每半年1次公布存量企业情况。</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加强非现场检查和现场监管，及时处理投诉举报，发现违法违规行为的要依法查处并公开结果。</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429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证券金融公司设立和解散审批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批准文件、中华人民共和国经营证券期货业务许可证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《证券公司监督管理条例》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1.推动实现申请、审批全程网上办理。2.每半年1次公布存量企业情况。</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加强非现场检查和现场监管，及时处理投诉举报，发现违法违规行为的要依法查处并公开结果。</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430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境外证券经营机构在境内经营证券业务审批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批准文件、中华人民共和国经营证券期货业务许可证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《国务院对确需保留的行政审批项目设定行政许可的决定》《证券公司监督管理条例》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中国证监会及其派出机构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1.推动实现申请、审批全程网上办理。2.网上公布服务指南，公开受理进度、反馈意见、审批结果等情况。</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风险程度、信用水平等，合理确定抽查比例，发现违法违规行为的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CellMar>
            <w:top w:w="0" w:type="dxa"/>
            <w:left w:w="108" w:type="dxa"/>
            <w:bottom w:w="0" w:type="dxa"/>
            <w:right w:w="108" w:type="dxa"/>
          </w:tblCellMar>
        </w:tblPrEx>
        <w:trPr>
          <w:trHeight w:val="294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431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国家粮食和储备局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中央储备粮代储资格认定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中央储备粮代储企业资格认定证书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《中央储备粮管理条例》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国家粮食和储备局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1.实现申请、审批全程网上办理。2.不再要求申请人提供营业执照扫描件等材料。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1.通过“双随机、一公开”监管、重点监管等方式，依法查处违法行为。2.加强信用监管，向社会公布企业信用状况，对失信主体开展联合惩戒。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432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国家粮食和储备局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军粮供应站资格、军粮供应委托代理资格认定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军粮供应站资格证书、军粮代供点资格证书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省级粮食和储备部门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1.不再要求申请人提供事业单位设立批准文件复印件、省级粮食行政管理部门认为需要提交的其他材料。2.将实地核查办理时限由15个工作日压减至10个工作日。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通过“双随机、一公开”监管、重点监管等方式，对制度落实、计划管理、军粮质量、核算手续、经费往来等加强监管。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433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国家粮食和储备局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粮食收购资格认定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粮食收购许可证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《粮食流通管理条例》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企业办理登记注册的市场监管部门同级的粮食和储备部门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1.网上公布审批程序、受理条件、办理标准，公开办理进度。2.不再要求申请人提供营业执照、法定代表人身份证明等材料，通过部门间信息共享获取相关信息。</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1.通过“双随机、一公开”监管、重点监管等方式，依法查处违法违规企业。2.加强信用监管，向社会公布企业信用状况，对失信主体开展联合惩戒。</w:t>
            </w:r>
          </w:p>
        </w:tc>
      </w:tr>
      <w:tr>
        <w:tblPrEx>
          <w:tblCellMar>
            <w:top w:w="0" w:type="dxa"/>
            <w:left w:w="108" w:type="dxa"/>
            <w:bottom w:w="0" w:type="dxa"/>
            <w:right w:w="108" w:type="dxa"/>
          </w:tblCellMar>
        </w:tblPrEx>
        <w:trPr>
          <w:trHeight w:val="250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434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国家能源局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电力业务许可证核发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电力业务许可证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《中华人民共和国电力法》《电力供应与使用条例》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国家能源局派出能源监管机构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在网上公布审批程序、受理条件和办理标准，公开办理进度。2.不再要求申请人提供营业执照等材料，通过部门间信息共享获取相关信息。3.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1.开展“双随机、一公开”监管，依法查处违规行为。2.推进部门间信息共享应用，加强信用监管，健全信用告知预警机制，对失信主体开展联合惩戒。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435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国家能源局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承装（修、试）电力设施许可证核发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承装（修、试）电力设施许可证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《中华人民共和国电力法》《电力供应与使用条例》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国家能源局派出能源监管机构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在网上公布审批程序、受理条件和办理标准，公开办理进度。2.不再要求申请人提供营业执照等材料，通过部门间信息共享获取相关信息。3.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1.开展“双随机、一公开”监管，依法查处违规行为。2.推进部门间信息共享应用，加强信用监管，健全信用告知预警机制，对失信主体开展联合惩戒。</w:t>
            </w:r>
          </w:p>
          <w:p>
            <w:pPr>
              <w:spacing w:line="280" w:lineRule="exact"/>
              <w:ind w:firstLine="0" w:firstLineChars="0"/>
              <w:jc w:val="both"/>
              <w:rPr>
                <w:rFonts w:hint="eastAsia" w:ascii="仿宋_GB2312" w:hAnsi="仿宋_GB2312" w:eastAsia="仿宋_GB2312" w:cs="仿宋_GB2312"/>
                <w:sz w:val="21"/>
              </w:rPr>
            </w:pP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436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国家国防科工局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核材料许可证核发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中华人民共和国核材料许可证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《中华人民共和国核材料管制条例》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国家国防科工局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核材料账目与衡算管理实施计划、核材料实物保护与保密实施计划、核材料衡算与控制规程、反应堆燃耗分析计算程序及精度说明、反应堆热功率和功率分布监测方法及其精度说明、核材料实物保护系统的测试和维护说明、核材料相关的保密管理措施、实物保护系统有效性评估等材料。2.技术审评与现场检查实行并联办理，将审批时限压减15天。</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合理确定抽查比例。2.加强对持证单位的监测，针对发现的普遍性问题和突出风险开展专项检查，确保不发生系统性、区域性风险。3.取换证现场检查期间，对核材料衡算、核材料实物保护与保密工作等相关支持性文件进行检查。</w:t>
            </w:r>
          </w:p>
        </w:tc>
      </w:tr>
      <w:tr>
        <w:tblPrEx>
          <w:tblCellMar>
            <w:top w:w="0" w:type="dxa"/>
            <w:left w:w="108" w:type="dxa"/>
            <w:bottom w:w="0" w:type="dxa"/>
            <w:right w:w="108" w:type="dxa"/>
          </w:tblCellMar>
        </w:tblPrEx>
        <w:trPr>
          <w:trHeight w:val="233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437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国家国防科工局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第二类武器装备科研生产许可（初审）</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《武器装备科研生产许可管理条例》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省级国防科技工业部门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1.网上公布受理条件、审批程序、办理标准，提供电话查询办理进度渠道。2.将许可目录项目由755项压减至285项，压减项目数量62%以上,对不再审批的项目实行备案管理。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跨部门联合监管等，发现问题及时依法处理。2.依法及时处理投诉举报。3.强化信用约束，对弄虚作假、提供假冒伪劣产品等严重失信的企事业单位，将其列入失信黑名单并通报。4.强化属地管理，地方国防科技工业部门对本行政区域内从事生产活动的单位加强监管。</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438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国家国防科工局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武器装备科研生产许可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武器装备科研生产许可证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《武器装备科研生产许可管理条例》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国家国防科工局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1.网上公布受理条件、审批程序、办理标准，提供电话查询办理进度渠道。2.将许可目录项目由755项压减至285项，压减项目数量62%以上，对不再审批的项目实行备案管理。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跨部门联合监管等，发现问题及时依法处理。2.强化属地管理，地方国防科技工业部门对本行政区域内从事生产活动的单位加强监管。3.依法及时处理投诉举报。4.强化信用约束，对弄虚作假、提供假冒伪劣产品等严重失信的单位，将其列入失信黑名单并通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439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国家国防科工局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一级、二级国防计量技术机构设置审批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《国防计量监督管理条例》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国家国防科工局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1.网上公布受理条件、审批程序、办理标准，提供电话查询办理进度渠道。2.取消信息报送、量值比对、学术交流、计量仲裁等18项审查标准。3.将审批时限由35个工作日压减至25个工作日。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440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国家国防科工局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三级国防计量技术机构设置审批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《国防计量监督管理条例》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省级国防科技工业部门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1.网上公布受理条件、审批程序、办理标准，提供电话查询办理进度渠道。2.取消信息报送、量值比对、学术交流、计量仲裁等18项审查标准。3.将审批时限由35个工作日压减至25个工作日。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441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国家国防科工局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军品出口许可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《中华人民共和国军品出口管理条例》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国家国防科工局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网上公布受理条件、审批程序、办理标准，提供电话查询办理进度渠道。</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1.通过“双随机、一公开”监管、跨部门联合监管等方式，依法查处违法行为。2.加强信用监管，对失信主体开展联合惩戒。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442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国家烟草局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烟草制品生产企业设立、分立、合并、撤销审批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国家烟草专卖局关于准予设立、分立、合并、撤销××烟草制品生产企业的决定</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《中华人民共和国烟草专卖法》《中华人民共和国烟草专卖法实施条例》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国家烟草局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将审批时限由16个工作日压减至8个工作日。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1.开展“双随机、一公开”监管，发现违法违规行为的要依法查处并公开结果。2.根据投诉举报开展重点检查。</w:t>
            </w:r>
          </w:p>
        </w:tc>
      </w:tr>
      <w:tr>
        <w:tblPrEx>
          <w:tblCellMar>
            <w:top w:w="0" w:type="dxa"/>
            <w:left w:w="108" w:type="dxa"/>
            <w:bottom w:w="0" w:type="dxa"/>
            <w:right w:w="108" w:type="dxa"/>
          </w:tblCellMar>
        </w:tblPrEx>
        <w:trPr>
          <w:trHeight w:val="349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443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国家烟草局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烟草专卖生产企业许可证核发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烟草专卖生产企业许可证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《中华人民共和国烟草专卖法》</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《中华人民共和国烟草专卖法实施条例》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国家烟草局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将审批时限由15个工作日压减至8个工作日。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1.开展“双随机、一公开”监管，加强对持证主体合规生产经营的监管，发现违法违规行为的要依法查处并公开结果。2.取缔无证生产经营主体。</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444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国家烟草局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外商投资设立烟草专卖生产企业审批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国家烟草专卖局关于准予设立××外商投资烟草专卖生产企业行政许可决定</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《中华人民共和国烟草专卖法实施条例》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国家烟草局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将审批时限由16个工作日压减至8个工作日。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1.开展“双随机、一公开”监管，发现违法违规行为的要依法查处并公开结果。2.根据投诉举报开展重点检查。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445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国家烟草局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烟草制品批发企业设立、分立、合并、撤销审批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国家烟草专卖局关于准予设立、分立、合并、撤销××烟草制品批发企业的决定</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《中华人民共和国烟草专卖法》《中华人民共和国烟草专卖法实施条例》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国家烟草局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将审批时限由16个工作日压减至8个工作日。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1.开展“双随机、一公开”监管，发现违法违规行为的要依法查处并公开结果。2.根据投诉举报开展重点检查。</w:t>
            </w:r>
          </w:p>
        </w:tc>
      </w:tr>
      <w:tr>
        <w:tblPrEx>
          <w:tblCellMar>
            <w:top w:w="0" w:type="dxa"/>
            <w:left w:w="108" w:type="dxa"/>
            <w:bottom w:w="0" w:type="dxa"/>
            <w:right w:w="108" w:type="dxa"/>
          </w:tblCellMar>
        </w:tblPrEx>
        <w:trPr>
          <w:trHeight w:val="90"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446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国家烟草局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烟草专卖批发企业许可证核发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烟草专卖批发企业许可证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《中华人民共和国烟草专卖法》《中华人民共和国烟草专卖法实施条例》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国家烟草局；省级烟草部门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将审批时限由15个工作日压减至8个工作日。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1.开展“双随机、一公开”监管，加强对持证主体合规经营的监管，发现违法违规行为的要依法查处并公开结果。2.取缔无证经营主体。</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447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国家林草局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林草种子（林木良种，主要草种杂交种子及其亲本种子、常规原种种子，选育生产经营相结合单位）生产经营许可证核发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林草种子生产经营许可证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《中华人民共和国种子法》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省级林草部门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不再要求申请人提供经营场所权属证明、生产用地用途证明等材料。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1.开展“双随机、一公开”监管，发现违法违规行为的要依法查处并公开结果。2.加强信用监管，建立企业信用档案并依法公开，对失信单位和个人开展联合惩戒。3.发挥行业协会自律作用。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448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国家林草局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草种进出口审批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草种进出口审批表</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《中华人民共和国种子法》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省级林草部门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1.不再要求申请人提供草种生产经营许可证等材料。2.将草种进出口审批表有效期由3个月延长至6个月。</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1.开展“双随机、一公开”监管，发现违法违规行为的要依法查处并公开结果。2.依法及时处理投诉举报。3.加强信用监管，建立企业信用档案并向社会公开，对失信主体开展联合惩戒。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449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国家林草局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普及型国外引种试种苗圃资格认定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普及型国外引种试种苗圃资格证书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国家林草局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不再要求申请人提供林草种子生产经营许可证等材料。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开展“双随机、一公开”监管和专项检查，发现违法违规行为的要依法查处并公开结果。</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450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国家林草局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林草种子质量检验机构资质考核</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林草种子质量检验机构资质证书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《中华人民共和国种子法》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省级以上林草部门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1.不再要求申请人提供工作制度等材料。2.将审批时限由20个工作日压减至15个工作日。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1.开展“双随机、一公开”监管，发现违法违规行为的要依法查处并公开结果。2.加强信用监管，向社会公布检验机构信用状况。</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451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国家林草局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林业质检机构资质认定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林业质检机构资质审查认可授权证书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《中华人民共和国产品质量法》《中华人民共和国标准化法》《中华人民共和国标准化法实施条例》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国家林草局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1.实现申请、审批网上办理。2.将审批时限由20个工作日压减至15个工作日。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452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国家林草局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出售、收购国家二级保护野生植物审批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无</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《中华人民共和国野生植物保护条例》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省级林草部门或者其授权的机构</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不再要求申请人提供身份证明等材料。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加强信用监管，加大监督检查力度，对失信主体开展联合惩戒。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453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国家林草局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国务院规定由国家林草局审批的国家重点保护陆生野生动物人工繁育许可证核发（除已制定人工繁育技术标准的物种外）</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国家重点保护陆生野生动物人工繁育许可证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《中华人民共和国野生动物保护法》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国家林草局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1.实现申请、审批网上办理，进一步优化审批流程，规范专家评审。2.将审批时限由20个工作日压减至15个工作日。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rPr>
            </w:pPr>
            <w:r>
              <w:rPr>
                <w:rFonts w:hint="eastAsia" w:ascii="仿宋_GB2312" w:hAnsi="仿宋_GB2312" w:eastAsia="仿宋_GB2312" w:cs="仿宋_GB2312"/>
                <w:sz w:val="21"/>
              </w:rPr>
              <w:t>1.严格执行行业标准和规范，针对不同物种采取差别化、精细化管理方式。2.加强信用监管，对失信主体开展联合惩戒。3.组织开展行业培训。4.发挥行业协会自律作用。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454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国家林草局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权限内国家重点保护陆生野生动物人工繁育许可证核发（除已制定人工繁育技术标准的物种和列入人工繁育国家重点保护陆生野生动物目录的物种外）</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国家重点保护陆生野生动物人工繁育许可证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《中华人民共和国野生动物保护法》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省级林草部门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1.对申请增加繁育种类的不再要求申请人提供原驯养繁殖许可证和相关批准文件等材料。2.进一步优化审批流程，规范专家评审。</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1.严格执行行业标准和规范，针对不同物种采取差别化、精细化管理方式。2.加强信用监管，对失信主体开展联合惩戒。3.组织开展行业培训。4.发挥行业协会自律作用。</w:t>
            </w:r>
          </w:p>
        </w:tc>
      </w:tr>
      <w:tr>
        <w:tblPrEx>
          <w:tblCellMar>
            <w:top w:w="0" w:type="dxa"/>
            <w:left w:w="108" w:type="dxa"/>
            <w:bottom w:w="0" w:type="dxa"/>
            <w:right w:w="108" w:type="dxa"/>
          </w:tblCellMar>
        </w:tblPrEx>
        <w:trPr>
          <w:trHeight w:val="322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455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国家铁路局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铁路运输基础设备生产企业审批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铁路运输基础设备生产企业许可证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《铁路安全管理条例》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国家铁路局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不再要求申请人提供产品认证证明等材料。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1.开展“双随机、一公开”监管，发现违法违规行为的要依法查处并公开结果。2.加强信用监管，向社会公布铁路运输基础设备生产企业信用状况，对失信主体开展联合惩戒。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456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国家铁路局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铁路机车车辆设计、制造、维修或进口许可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铁路机车车辆型号合格证、铁路机车车辆制造许可证、铁路机车车辆维修许可证、铁路机车车辆进口许可证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《铁路安全管理条例》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国家铁路局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1.不再要求申请人提供营业执照副本等材料。2.按产品型号，将维修许可证有效期分别延长至5年、8年、10年。</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1.开展“双随机、一公开”监管，发现违法违规行为的要依法查处并公开结果。2.加强信用监管，向社会公布铁路机车车辆设计、制造、维修和进口企业信用状况，对失信主体开展联合惩戒。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457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国家铁路局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铁路运输企业准入许可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铁路运输许可证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国家铁路局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不再要求申请人提供营业执照副本等材料。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1.开展“双随机、一公开”监管，发现违法违规行为的要依法查处并公开结果。2.加强信用监管，向社会公布铁路运输企业信用状况，对失信主体开展联合惩戒。</w:t>
            </w:r>
          </w:p>
        </w:tc>
      </w:tr>
      <w:tr>
        <w:tblPrEx>
          <w:tblCellMar>
            <w:top w:w="0" w:type="dxa"/>
            <w:left w:w="108" w:type="dxa"/>
            <w:bottom w:w="0" w:type="dxa"/>
            <w:right w:w="108" w:type="dxa"/>
          </w:tblCellMar>
        </w:tblPrEx>
        <w:trPr>
          <w:trHeight w:val="185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458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民用航空器（发动机、螺旋桨）生产许可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《中华人民共和国民用航空法》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民航地区管理局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优化办事流程，通过邮寄（快递）等方式实现申请人“最多跑一次”。</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严格按照相关法律法规和标准加强监管，主管检查员对持证人每年至少进行1次评审，对持证人的质量系统每2年至少进行1次复查，对持证人的供应商每年至少随机抽查2个。</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459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民用航空器零部件制造人批准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零部件制造人批准书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民航地区管理局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优化办事流程，通过邮寄（快递）等方式实现申请人“最多跑一次”。</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严格按照相关法律法规和标准加强监管，主管检查员对持证人每年至少进行1次评审，对持证人的质量系统每2年至少进行1次复查，对持证人的供应商每年至少随机抽查2个。</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460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民用航空器维修单位维修许可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维修许可证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《中华人民共和国民用航空法》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申请人在民航飞行标准监督管理系统一次性提交申请及相关材料，并可在线查询审批进度。2.对于集团化多地点维修企业，减少企业在各地重复申请许可，推行“一证多地”政策，实现企业申领一张维修许可证即可跨区域从事航空器及部件维修工作。</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1.改进工作差错和不安全事件的监管处理流程，提升监管效率和精准度。2.改进监管理念和作风，不以实行单一惩戒为目标，推动企业合法经营和持续发展。</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461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公共航空运输企业经营许可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公共航空运输企业经营许可证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《中华人民共和国民用航空法》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1.通过年报制度加强对经营活动的监管。2.通过诚信体系建设，加强主体监管。</w:t>
            </w:r>
          </w:p>
        </w:tc>
      </w:tr>
      <w:tr>
        <w:tblPrEx>
          <w:tblCellMar>
            <w:top w:w="0" w:type="dxa"/>
            <w:left w:w="108" w:type="dxa"/>
            <w:bottom w:w="0" w:type="dxa"/>
            <w:right w:w="108" w:type="dxa"/>
          </w:tblCellMar>
        </w:tblPrEx>
        <w:trPr>
          <w:trHeight w:val="237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462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中外公共航空运输承运人运行合格证核发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航空承运人运行合格证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中国民航局；民航地区管理局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1.优化外国公共航空运输承运人合格审定审批流程。2.对部分项目进行合并或简化，将申请要件由36项压减至20项。</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依托有关系统对监督检查活动进行统一计划管理，对于检查绩效不良的公司适当增加检查频次，对监督检查结果由民航飞行标准监督管理系统记录并视情况采取进一步管控措施。</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463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中外航空运输企业航线（航班运输）经营许可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航线经营许可证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《中华人民共和国民用航空法》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中国民航局；民航地区管理局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通过邮寄（快递）接收申请材料、寄送许可证件。3.航空公司申请国际航权资源实行事前承诺制，要求在获得公共航空运输企业经营许可证、具有与经营该国际航线相适应的民用航空器、投保相关保险、对开航可行性进行充分研究、国外机场运行保障和安保措施证明材料以及有能力确保航权有效执行等方面作出守信承诺。4.取消国内航线经营许可证有效期。</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引入实际飞行数据，提升航线航班执行情况监控的及时性和完整性。2.依法依规对航空运输企业航线（航班运输）经营许可使用情况进行监管，及时注销不符合法规要求的证照。3.加强诚信体系建设，强化对航线航班经营主体的信用约束。4.对航空公司航班计划执行情况和航权使用率实施监测记分，根据记分情况实施新增国际航线航班的准入惩戒，对未在规定期限内开航或未充分使用航权的航空公司实施航权清理。</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464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航空营运人运输危险品资格批准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危险品航空运输许可证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民航地区管理局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1.取消审批中的专家评审环节。2.不再要求申请人提供公共航空运输企业经营许可证复印件等材料。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1.推进危险品安全管理体系建设，进一步落实企业安全主体责任。2.依托有关信息系统，完善涉及危险品航空运输的监管事项，加强监督检查力度。</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465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商业非运输运营人、私用大型航空器运营人、航空器代管人运行合格证核发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商业非运输航空运营人运行合格证及私用大型航空器运营人和航空器代管人运行规范</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民航地区管理局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1.实现网上一次性提交相关材料。2.对部分运行种类（如空中游览、一般商业运行）实现文件审查与现场验证环节合并进行。</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依托有关系统对监督检查活动进行统一计划管理，监督检查结果由系统记录并按分析评估结果视情况采取进一步措施。</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466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通用航空企业经营许可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通用航空企业经营许可证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《中华人民共和国民用航空法》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民航地区管理局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除被吊销、撤销、注销外，许可证长期有效。</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1.开展“双随机、一公开”监管，对载客运输类、载人作业类进行重点监管。2.建立通用航空诚信评价体系，对诚信记录较差的企业增加检查频次及强度。3.加强信用监管，对失信主体开展联合惩戒。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467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外航驻华常设机构设立审批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外国航空运输企业常驻代表机构批准证书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《中华人民共和国国务院关于管理外国企业常驻代表机构的暂行规定》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委托第三方机构，免费向外航申请人提供全程中英文办理指导。</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1.开展“双随机、一公开”监管、重点监管和非现场监管，及时处理投诉举报。2.对监管中发现的问题及时约谈行政相对人，要求其整改，必要时在民航当局间进行磋商。</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468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民用航空器驾驶员学校审定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民用航空器驾驶员学校合格证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中国民航局；民航地区管理局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1.实现申请、审批全程网上办理。2.不再要求申请人提供商业非运输航空运营人合格证等材料。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依托有关系统对监督检查活动进行统一计划管理，监督检查结果由系统记录并按分析评估结果视情况采取进一步措施。</w:t>
            </w:r>
          </w:p>
        </w:tc>
      </w:tr>
      <w:tr>
        <w:tblPrEx>
          <w:tblCellMar>
            <w:top w:w="0" w:type="dxa"/>
            <w:left w:w="108" w:type="dxa"/>
            <w:bottom w:w="0" w:type="dxa"/>
            <w:right w:w="108" w:type="dxa"/>
          </w:tblCellMar>
        </w:tblPrEx>
        <w:trPr>
          <w:trHeight w:val="2378"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469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飞行训练中心合格认定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飞行训练中心合格证及运行规范</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中国民航局；民航地区管理局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1.精简飞行训练中心合格认定的申请要件，优化申请系统模块。2.合并或删减不必要的项目，避免重复提交材料。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依托有关系统对监督检查活动进行统一计划管理，监督检查结果由系统记录并按分析评估结果视情况采取进一步措施。</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470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民用航空维修技术人员学校合格认定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维修培训机构合格证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中国民航局；民航地区管理局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允许申请人网上一次性提交申请及相关材料，并可在线查询审批进度。2.调整运动类和非复杂航空器的机型培训管理方式。3.对较大规模的维修培训机构，减少在各地重复申请许可，推行“一证多地”政策，实现维修培训机构申领一张许可证件即可跨区域从事维修培训工作。</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1.改变监管方式，以培训质量为核心，发挥市场评估和学员评估作用。2.加强信用监管，对失信主体开展联合惩戒。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471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飞行签派员训练机构审批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飞行签派员训练机构资格证书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民航地区管理局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1.将训练机构合格证有效期由2年延长至5年。2.对续办训练机构合格证的，取消关于“毕业于该飞行签派员训练机构的学员在参加实践考试中第一次测试合格率达到80%”的要求。</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依托有关系统对监督检查活动进行统一计划管理，监督检查结果由系统记录并按分析评估结果视情况采取进一步措施。</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472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民用航空油料供应商适航批准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民用航空油料供应企业适航批准书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1.除必要的现场审核外，实现其他审查网上办理。2.民航局委托评审机构开展审查，并由其就办理流程、材料初审等环节向申请人提供免费指导。</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对批准单位每年开展1次年度检查，年初制定年度检查计划，对检查情况和整改情况进行跟踪。</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473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民用航空油料企业安全运营许可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民用机场航空燃油供应安全运营许可证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民航地区管理局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1.申请人可就近前往民航地区管理局领取许可证件。2.在申请材料符合完整性、真实性、合法性的基础上，申请人可“最多跑一次”完成取证工作。</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对航油企业进行不定期检查，对可能产生重大影响的情况及时告知航油企业所在机场的管理机构，发现违规情形的要依法查处。</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474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民用航空油料测试单位批准</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民用航空油料检测单位批准函</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1.除必要的现场审核外，实现其他审查网上办理。2.民航局委托评审机构开展审查，并由其就办理流程、材料初审等环节向申请人提供免费指导。</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对批准单位每年开展1次年度检查，年初制定年度检查计划，对检查情况和整改情况进行跟踪。</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475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设立国际机场审批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批复文件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《中华人民共和国民用航空法》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实现机场名称变更的申请、审批全程网上办理。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每年年初制定行政检查计划，对辖区内机场进行年度适用性检查，并通过机场安全监管系统实现监察的电子化及整改问题在线流转，每5年对辖区内机场组织实施1次符合性评价。</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476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对公众开放的民用机场使用许可证核发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批复文件和民用机场使用许可证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《中华人民共和国民用航空法》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中国民航局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1.实现申请、审批全程网上办理。2.申请人可就近前往民航地区管理局领取许可证件。3.取消许可证5年有效期，改为长期有效。</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每年年初制定行政检查计划，对辖区内机场进行年度适用性检查，并通过机场安全监管系统实现监察的电子化及整改问题在线流转，每5年对辖区内机场组织实施1次符合性评价。</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477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国家邮政局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经营邮政通信业务审批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经营邮政通信业务批准文件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sz w:val="21"/>
              </w:rPr>
              <w:t>国家邮政局；省级邮政管理局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1.网上公布审批程序、受理条件、查询方式。2.不再要求申请人提供邮政通信业务经营场地证明等材料。3.将审批时限由20个工作日压减至10个工作日。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1.严格执行法律法规的规定，对经营邮政通信业务企业加强监督。2.开展“双随机、一公开”监管，发现违法违规行为的要依法查处并公开结果。</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478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国家邮政局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快递业务经营许可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快递业务经营许可证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《中华人民共和国邮政法》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国家邮政局；省级邮政管理局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1.实现申请、审批全程网上办理并在网上公布审批程序、受理条件、查询方式。2.不再要求申请人提供快递业务经营场地证明等材料。3.将审批时限由45个工作日压减至22个工作日。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1.严格执行法律法规的规定，对快递企业加强监督。2.开展“双随机、一公开”监管，发现违法违规行为的要依法查处并公开结果。</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479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国家文物局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设立文物商店审批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文物商店许可证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《中华人民共和国文物保护法》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省级文物部门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不再要求申请人提供文物保管技术条件证明等材料。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1.加强文物商店日常经营状况监测，发现问题及时依法处理。2.依法及时处理投诉举报。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480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国家文物局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拍卖企业经营文物拍卖许可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文物拍卖许可证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《中华人民共和国文物保护法》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省级文物部门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不再要求申请人提供历次股权结构变动情况记录、营业执照、拍卖经营批准证书原件等材料。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1.对经营文物拍卖的拍卖企业，加强日常经营状况监测，发现问题及时依法处理。2.依法及时处理投诉举报。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481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国家文物局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馆藏文物修复、复制、拓印单位资质认定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可移动文物修复资质证书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《中华人民共和国文物保护法》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省级文物部门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不再要求申请人提供有关人员身份证复印件等材料。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1.开展“双随机、一公开”监管，发现违法违规行为的要依法查处并公开结果。2.健全年度报告和公示制度，加强社会监督。3.对馆藏文物修复、复制、拓印单位经营情况开展第三方评估并将评估结果向社会公布。</w:t>
            </w:r>
          </w:p>
        </w:tc>
      </w:tr>
      <w:tr>
        <w:tblPrEx>
          <w:tblCellMar>
            <w:top w:w="0" w:type="dxa"/>
            <w:left w:w="108" w:type="dxa"/>
            <w:bottom w:w="0" w:type="dxa"/>
            <w:right w:w="108" w:type="dxa"/>
          </w:tblCellMar>
        </w:tblPrEx>
        <w:trPr>
          <w:trHeight w:val="349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482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国家文物局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文物保护工程勘察设计甲级资质审批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文物保护工程勘察设计甲级资质证书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《中华人民共和国文物保护法》《中华人民共和国文物保护法实施条例》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国家文物局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1.实现申请、审批全程网上办理。2.不再要求申请人提供企业章程、主要设备发票等材料。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1.加强“互联网+监管”，发现违法违规行为的要依法查处并公开结果。2.依法及时处理投诉举报。3.针对发现的普遍性和突出问题开展专项检查。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483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国家文物局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文物保护工程施工一级资质审批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文物保护工程施工一级资质证书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《中华人民共和国文物保护法》《中华人民共和国文物保护法实施条例》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国家文物局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1.实现申请、审批全程网上办理。2.不再要求申请人提供企业章程、主要设备发票等材料。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1.加强“互联网+监管”，发现违法违规行为的要依法查处并公开结果。2.依法及时处理投诉举报。3.针对发现的普遍性和突出问题开展专项检查。</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484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国家文物局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文物保护工程监理甲级资质审批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文物保护工程监理甲级资质证书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《中华人民共和国文物保护法》《中华人民共和国文物保护法实施条例》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国家文物局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1.实现申请、审批全程网上办理。2.不再要求申请人提供企业章程、主要设备发票等材料。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1.加强“互联网+监管”，发现违法违规行为的要依法查处并公开结果。2.依法及时处理投诉举报。3.针对发现的普遍性和突出问题开展专项检查。</w:t>
            </w:r>
          </w:p>
        </w:tc>
      </w:tr>
      <w:tr>
        <w:tblPrEx>
          <w:tblCellMar>
            <w:top w:w="0" w:type="dxa"/>
            <w:left w:w="108" w:type="dxa"/>
            <w:bottom w:w="0" w:type="dxa"/>
            <w:right w:w="108" w:type="dxa"/>
          </w:tblCellMar>
        </w:tblPrEx>
        <w:trPr>
          <w:trHeight w:val="3493"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485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国家文物局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文物保护工程勘察设计乙级及以下资质审批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文物保护工程勘察设计资质证书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《中华人民共和国文物保护法》《中华人民共和国文物保护法实施条例》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省级文物部门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不再要求申请人提供企业章程、主要设备发票等材料。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1.依法及时处理投诉举报。2.加强对文物保护工程实施单位的日常监督管理，针对发现的普遍性和突出问题开展专项检查。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486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国家文物局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文物保护工程施工二级及以下资质审批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文物保护工程施工资质证书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《中华人民共和国文物保护法》《中华人民共和国文物保护法实施条例》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省级文物部门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不再要求申请人提供企业章程、主要设备发票等材料。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1.依法及时处理投诉举报。2.加强对文物保护工程实施单位的日常监督管理，针对发现的普遍性和突出问题开展专项检查。</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487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国家文物局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文物保护工程监理乙级及以下资质审批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文物保护工程监理资质证书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《中华人民共和国文物保护法》《中华人民共和国文物保护法实施条例》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省级文物部门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不再要求申请人提供企业章程、主要设备发票等材料。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1.依法及时处理投诉举报。2.加强对文物保护工程实施单位的日常监督管理，针对发现的普遍性和突出问题开展专项检查。</w:t>
            </w:r>
          </w:p>
        </w:tc>
      </w:tr>
      <w:tr>
        <w:tblPrEx>
          <w:tblCellMar>
            <w:top w:w="0" w:type="dxa"/>
            <w:left w:w="108" w:type="dxa"/>
            <w:bottom w:w="0" w:type="dxa"/>
            <w:right w:w="108" w:type="dxa"/>
          </w:tblCellMar>
        </w:tblPrEx>
        <w:trPr>
          <w:trHeight w:val="352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488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国家煤矿安监局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除涉煤中央企业总部（总公司、集团公司）外的煤矿企业及煤矿安全生产许可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安全生产许可证（煤矿）</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《安全生产许可证条例》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省级煤矿安全监察局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察执法，发现煤矿不具备安全生产条件的要依法查处。2.严格按照安全生产条件对企业申报材料和现场进行审查，对不具备安全生产条件的，不予颁发安全生产许可证。3.加强信用监管，将存在违法违规失信行为的煤矿企业纳入黑名单，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489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国家煤矿安监局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涉煤中央企业（总公司、集团公司）煤矿安全生产许可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安全生产许可证（煤矿）</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《安全生产许可证条例》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国家煤矿安全监察局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p>
            <w:pPr>
              <w:spacing w:line="280" w:lineRule="exact"/>
              <w:ind w:firstLine="0" w:firstLineChars="0"/>
              <w:jc w:val="center"/>
              <w:rPr>
                <w:rFonts w:hint="eastAsia" w:ascii="仿宋_GB2312" w:hAnsi="仿宋_GB2312" w:eastAsia="仿宋_GB2312" w:cs="仿宋_GB2312"/>
                <w:sz w:val="21"/>
              </w:rPr>
            </w:pP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察执法，发现煤矿不具备安全生产条件的要依法查处。2.严格按照安全生产条件对企业申报材料和现场进行审查，对不具备安全生产条件的，不予颁发安全生产许可证。3.加强信用监管，将存在违法违规失信行为的煤矿企业纳入黑名单，开展联合惩戒。</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490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国家外汇局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银行、农村信用社、兑换机构及非金融机构等结汇、售汇业务市场准入、退出审批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批准文件、个人本外币兑换特许业务经营许可证或备案通知书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《中华人民共和国外汇管理条例》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国家外汇局、外汇分局及外汇管理部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1.实现预审、审批进度和结果网上查询，推动实现全程网上办理。2.不再要求申请人提供上级金融机构外汇业务合规与审慎经营评估等级证明等材料。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1.开展“双随机、一公开”监管，依法查处违规行为，适时公开相关案例。2.依法及时处理投诉举报。3.开展数据统计与监测，掌握外汇业务情况。</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491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国家外汇局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保险、证券公司等非银行金融机构外汇业务市场准入、退出审批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批准文件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《中华人民共和国外汇管理条例》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国家外汇局及外汇分支局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实现预审、审批进度和结果网上查询，推动实现全程网上办理。</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1.开展“双随机、一公开”监管，依法查处违规行为，适时公开相关案例。2.依法及时处理投诉举报。3.开展数据统计与监测，掌握外汇业务情况。</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492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药品生产企业许可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药品生产许可证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《中华人民共和国药品管理法》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1.落实“四个最严”要求，严格执行药品法律法规规章和标准。2.加强日常监管，通过检查、检验、监测等手段督促企业持续合规经营，依法查处违法违规行为。3.及时向社会公开许可信息，加强社会监督。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493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新药生产和上市许可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药品注册批件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《中华人民共和国药品管理法》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1.实现申请、审批全程网上办理。2.将审批时限由20个工作日压减至14个工作日。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1.及时公开许可信息。2.加强药品上市后的监管，发现问题依法处理。3.强化部门间信息共享应用。</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494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药品委托生产审批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药品委托生产批件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《中华人民共和国药品管理法》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不再要求申请人提供营业执照、药品生产质量管理规范（GMP）证书、药品生产许可证等材料。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1.落实“四个最严”要求，严格执行药品法律法规规章和标准。2.加强日常监管，通过检查、检验、监测等手段督促企业持续合规经营，依法查处违法违规行为。3.及时向社会公开许可信息，加强社会监督。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495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医疗机构配制制剂许可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医疗机构配制制剂许可证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《中华人民共和国药品管理法》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将审批时限由30个工作日压减至25个工作日。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落实“四个最严”要求，严格执行药品法律法规规章和标准。2.加强日常监管，通过检查、检验、监测等手段督促医疗机构配制制剂持续合规经营，依法查处违法违规行为。3.及时向社会公开许可信息，加强社会监督。</w:t>
            </w:r>
          </w:p>
        </w:tc>
      </w:tr>
      <w:tr>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496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国产药品再注册审批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药品再注册批件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《中华人民共和国药品管理法实施条例》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1.实现申请、审批全程网上办理。2.公布审批程序、受理条件和办理标准，公开办理进度。3.整合药品生产经营许可等审批事项中相关联的现场检查，提高审批效率。</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1.按照程序及时公开许可信息。2.加强药品上市后监管，发现问题依法处理。3.推进部门间信息共享应用。</w:t>
            </w:r>
          </w:p>
        </w:tc>
      </w:tr>
      <w:tr>
        <w:tblPrEx>
          <w:tblCellMar>
            <w:top w:w="0" w:type="dxa"/>
            <w:left w:w="108" w:type="dxa"/>
            <w:bottom w:w="0" w:type="dxa"/>
            <w:right w:w="108" w:type="dxa"/>
          </w:tblCellMar>
        </w:tblPrEx>
        <w:trPr>
          <w:trHeight w:val="181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497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药品批发企业许可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药品经营许可证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《中华人民共和国药品管理法》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1.落实“四个最严”要求，制定年度监管计划，突出监管重点，强化风险控制。2.通过日常监管督促企业不断完善、改进质量管理体系，持续合法合规经营。3.对违法违规行为，依法严厉查处并公开曝光。</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498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放射性药品生产企业审批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放射性药品生产企业许可证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《放射性药品管理办法》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国家药监局会同国家国防科工局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暂时调整适用《放射性药品管理办法》关于“放射性药品生产企业审批”的规定，将放射性药品生产企业审批权限由国家药监局和国家国防科工局下放至省级药监部门和省级国防科技工业部门。</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规章，对放射性药品生产企业加强监管。2.实施重点监管，发现违法违规行为的要依法严查重处。3.完善药监、国防科工、生态环境等部门间的协调配合机制，及时共享放射性药品生产企业信息。4.及时向社会公开许可证有关信息，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499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放射性药品经营企业审批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放射性药品经营企业许可证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《放射性药品管理办法》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国家药监局会同国家国防科工局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暂时调整适用《放射性药品管理办法》关于“放射性药品经营企业审批”的规定，将放射性药品经营企业审批权限由国家药监局和国家国防科工局下放至省级药监部门和省级国防科技工业部门。</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规章，对放射性药品经营企业加强监管。2.实施重点监管，发现违法违规行为的要依法严查重处。3.完善药监、国防科工、生态环境等部门间的协调配合机制，及时共享放射性药品经营企业信息。4.及时向社会公开许可证有关信息，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500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医疗机构使用放射性药品（三、四类）许可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放射性药品使用许可证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《放射性药品管理办法》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不再要求申请人提供人员资历证明等材料。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规章，对医疗机构使用放射性药品加强监管。2.完善药监、卫生健康、生态环境等部门间的协调配合机制，及时共享医疗机构使用放射性药品信息。3.实施重点监管，发现违法违规行为的要依法严查重处。4.及时向社会公开许可信息，加强社会监督。</w:t>
            </w:r>
          </w:p>
        </w:tc>
      </w:tr>
      <w:tr>
        <w:tblPrEx>
          <w:tblCellMar>
            <w:top w:w="0" w:type="dxa"/>
            <w:left w:w="108" w:type="dxa"/>
            <w:bottom w:w="0" w:type="dxa"/>
            <w:right w:w="108" w:type="dxa"/>
          </w:tblCellMar>
        </w:tblPrEx>
        <w:trPr>
          <w:trHeight w:val="2117"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501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生产第一类中的药品类易制毒化学品审批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药品类易制毒化学品生产许可批件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《易制毒化学品管理条例》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不再要求申请人提供药品生产许可证、药品生产质量管理规范（GMP）证书等材料。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1.严格执行有关法律法规和规章，对特殊药品生产、经营企业加强监管。2.实施重点监管，发现违法违规行为的要依法严查重处。3.及时向社会公开许可信息，加强社会监督。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both"/>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502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经营第一类中的药品类易制毒化学品审批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在药品经营许可证经营范围中标注“药品类易制毒化学品”，括号内标注药品类易制毒化学品名称</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《易制毒化学品管理条例》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不再要求申请人提供药品经营许可证、药品经营质量管理规范（GSP）证书等材料。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1.严格执行有关法律法规和规章，对特殊药品生产、经营企业加强监管。2.实施重点监管，发现违法违规行为的要依法严查重处。3.及时向社会公开许可信息，加强社会监督。</w:t>
            </w:r>
          </w:p>
        </w:tc>
      </w:tr>
      <w:tr>
        <w:tblPrEx>
          <w:tblCellMar>
            <w:top w:w="0" w:type="dxa"/>
            <w:left w:w="108" w:type="dxa"/>
            <w:bottom w:w="0" w:type="dxa"/>
            <w:right w:w="108" w:type="dxa"/>
          </w:tblCellMar>
        </w:tblPrEx>
        <w:trPr>
          <w:trHeight w:val="407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503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麻醉药品和精神药品生产企业审批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麻醉药品和精神药品定点生产批件在药品生产许可证正本标注类别，副本上类别后标注药品名称</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《麻醉药品和精神药品管理条例》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不再要求申请人提供药品生产许可证、药品生产质量管理规范（GMP）证书等材料。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1.严格执行有关法律法规和规章，对特殊药品生产、经营企业加强监管。2.实施重点监管，发现违法违规行为的要依法严查重处。3.及时向社会公开许可信息，加强社会监督。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504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麻醉药品和第一类精神药品全国性批发企业审批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批准文件，在药品经营许可证上注明</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《麻醉药品和精神药品管理条例》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不再要求申请人提供药品经营许可证、药品经营质量管理规范（GSP）证书等材料。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1.严格执行有关法律法规和规章，对特殊药品生产、经营企业加强监管。2.实施重点监管，发现违法违规行为的要依法严查重处。3.及时向社会公开许可信息，加强社会监督。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505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麻醉药品和第一类精神药品区域性批发企业经营审批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在药品经营许可证经营范围中注明</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《麻醉药品和精神药品管理条例》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不再要求申请人提供药品经营许可证、药品经营质量管理规范（GSP）证书等材料。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1.严格执行有关法律法规和规章，对特殊药品生产、经营企业加强监管。2.实施重点监管，发现违法违规行为的要依法严查重处。3.及时向社会公开许可信息，加强社会监督。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506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麻醉药品和精神药品进出口准许证核发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麻醉药品出口准许证、麻醉药品进口准许证、精神药品出口准许证、精神药品进口准许证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《中华人民共和国药品管理法》</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不再要求申请人提供药品生产许可证等材料。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1.严格执行有关法律法规和规章，对特殊药品生产、经营企业加强监管。2.实施重点监管，发现违法违规行为的要依法严查重处。3.及时向社会公开许可信息，加强社会监督。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507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药品经营企业从事第二类精神药品批发业务的审批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批准文件，在药品经营许可证经营范围中注明</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《麻醉药品和精神药品管理条例》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不再要求申请人提供药品经营许可证、药品经营质量管理规范（GSP）证书等材料。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1.严格执行有关法律法规和规章，对特殊药品生产、经营企业加强监管。2.实施重点监管，发现违法违规行为的要依法严查重处。3.及时向社会公开许可信息，加强社会监督。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508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药品批发企业经营蛋白同化制剂、肽类激素审批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在药品经营许可证上注明</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《反兴奋剂条例》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不再要求申请人提供药品经营许可证、药品经营质量管理规范（GSP）证书等材料。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1.严格执行有关法律法规和规章，对特殊药品生产、经营企业加强监管。2.实施重点监管，发现违法违规行为的要依法严查重处。3.及时向社会公开许可信息，加强社会监督。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509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蛋白同化制剂、肽类激素进口准许证核发</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药品进口准许证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《反兴奋剂条例》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不再要求申请人提供药品生产许可证、药品经营许可证等材料。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1.严格执行有关法律法规和规章，对特殊药品生产、经营企业加强监管。2.实施重点监管，发现违法违规行为的要依法严查重处。3.及时向社会公开许可信息，加强社会监督。</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510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第二类、第三类医疗器械生产许可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医疗器械生产许可证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《医疗器械监督管理条例》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将审批时限由30个工作日压减至20个工作日。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加大执法检查力度，督促企业严格落实医疗器械生产质量管理规范要求，发现违法违规行为的要依法严查重处。</w:t>
            </w:r>
          </w:p>
        </w:tc>
      </w:tr>
      <w:tr>
        <w:tblPrEx>
          <w:tblCellMar>
            <w:top w:w="0" w:type="dxa"/>
            <w:left w:w="108" w:type="dxa"/>
            <w:bottom w:w="0" w:type="dxa"/>
            <w:right w:w="108" w:type="dxa"/>
          </w:tblCellMar>
        </w:tblPrEx>
        <w:trPr>
          <w:trHeight w:val="350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511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第二类医疗器械产品注册审批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医疗器械注册证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《医疗器械监督管理条例》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1.推动实现第二类医疗器械审评标准规范统一。2.不再要求申请人提供营业执照、法定代表人或者主要负责人身份证明等材料，通过部门间信息共享获取相关信息。3.将审批时限由20个工作日压减至14个工作日。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1.将医疗器械注册数据上报情况列入年度考核内容。2.加大执法检查力度，发现违法违规行为的要依法严查重处。</w:t>
            </w:r>
          </w:p>
          <w:p>
            <w:pPr>
              <w:spacing w:line="280" w:lineRule="exact"/>
              <w:ind w:firstLine="0"/>
              <w:jc w:val="both"/>
              <w:rPr>
                <w:rFonts w:hint="eastAsia" w:ascii="仿宋_GB2312" w:hAnsi="仿宋_GB2312" w:eastAsia="仿宋_GB2312" w:cs="仿宋_GB2312"/>
              </w:rPr>
            </w:pP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512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化妆品生产许可</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化妆品生产许可证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《化妆品卫生监督条例》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省级药监部门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推广使用电子证照。2.不再要求申请人提供营业执照等材料，通过部门间信息共享获取相关信息。3.将审批时限由60个工作日压减至40个工作日，鼓励各地进一步压减化妆品生产许可证登记项目变更补发、注销等事项的审批时限，直至实现当场办结。</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加强化妆品监督抽验，对检验不合格产品依法查处并通告。2.加强对化妆品生产企业的飞行检查，发现违法行为依法查处并通告。3.加强化妆品不良反应监测，对发生严重不良反应的产品及其生产企业依法进行调查，发现违法违规行为的要依法查处。</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513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药物非临床研究质量管理规范（GLP）认证</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药物GLP认证批件</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国家药监局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1.实现申请、审批全程网上办理。2.不再要求申请人提供药物研究机构备案证明文件等材料。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1.推动落实省级药监部门药品注册管理的日常监管职责。2.对已通过认证的机构每3年开展定期检查。3.对注册品种检查过程中发现违法违规行为的要依法查处。</w:t>
            </w:r>
          </w:p>
        </w:tc>
      </w:tr>
      <w:tr>
        <w:tblPrEx>
          <w:tblCellMar>
            <w:top w:w="0" w:type="dxa"/>
            <w:left w:w="108" w:type="dxa"/>
            <w:bottom w:w="0" w:type="dxa"/>
            <w:right w:w="108" w:type="dxa"/>
          </w:tblCellMar>
        </w:tblPrEx>
        <w:trPr>
          <w:trHeight w:val="3522"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514</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国家保密局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制作、复制、维修、销毁国家秘密载体定点单位甲级资质认定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国家秘密载体印制甲级资质证书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《中华人民共和国保守国家秘密法》《中华人民共和国保守国家秘密法实施条例》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国家保密局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1.不再要求申请人提供验资报告、上一年度财务审计报告等材料。2.在自由贸易试验区将资质证书有效期限由3年延长至5年。</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1.开展“双随机、一公开”监管，继续采取飞行检查，完善联动处置机制，发现违规行为的要依法查处。2.将监管结果纳入市场主体的社会信用记录，增强保密资质（格）单位的保密意识，提高保密管理水平。</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515</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国家保密局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制作、复制、维修、销毁国家秘密载体定点单位乙级资质认定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国家秘密载体印制乙级资质证书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《中华人民共和国保守国家秘密法》《中华人民共和国保守国家秘密法实施条例》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省级保密部门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1.不再要求申请人提供验资报告、上一年度财务审计报告等材料。2.在自由贸易试验区将资质证书有效期限由3年延长至5年。</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rPr>
            </w:pPr>
            <w:r>
              <w:rPr>
                <w:rFonts w:hint="eastAsia" w:ascii="仿宋_GB2312" w:hAnsi="仿宋_GB2312" w:eastAsia="仿宋_GB2312" w:cs="仿宋_GB2312"/>
                <w:sz w:val="21"/>
              </w:rPr>
              <w:t>1.开展“双随机、一公开”监管，继续采取飞行检查，完善联动处置机制，发现违规行为的要依法查处。2.将监管结果纳入市场主体的社会信用记录，增强保密资质（格）单位的保密意识，提高保密管理水平。</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516</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国家保密局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涉密信息系统集成单位甲级资质认定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涉密信息系统集成甲级资质证书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《中华人民共和国保守国家秘密法》《中华人民共和国保守国家秘密法实施条例》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国家保密局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1.不再要求申请人提供验资报告、上一年度财务审计报告、电子与智能化工程专业承包资质等材料。2.在自由贸易试验区将资质证书有效期限由3年延长至5年。</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1.开展“双随机、一公开”监管，继续采取飞行检查，完善联动处置机制，发现违规行为的要依法查处。2.将监管结果纳入市场主体的社会信用记录，增强保密资质（格）单位的保密意识，提高保密管理水平。</w:t>
            </w:r>
          </w:p>
        </w:tc>
      </w:tr>
      <w:tr>
        <w:tblPrEx>
          <w:tblCellMar>
            <w:top w:w="0" w:type="dxa"/>
            <w:left w:w="108" w:type="dxa"/>
            <w:bottom w:w="0" w:type="dxa"/>
            <w:right w:w="108" w:type="dxa"/>
          </w:tblCellMar>
        </w:tblPrEx>
        <w:trPr>
          <w:trHeight w:val="2935"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517</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国家保密局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涉密信息系统集成单位乙级资质认定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涉密信息系统集成乙级资质证书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《中华人民共和国保守国家秘密法》《中华人民共和国保守国家秘密法实施条例》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省级保密部门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1.不再要求申请人提供验资报告、上一年度财务审计报告、电子与智能化工程专业承包资质等材料。2.在自由贸易试验区将资质证书有效期限由3年延长至5年。</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1.开展“双随机、一公开”监管，继续采取飞行检查，完善联动处置机制，发现违规行为的要依法查处。2.将监管结果纳入市场主体的社会信用记录，增强保密资质（格）单位的保密意识，提高保密管理水平。</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518</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国家保密局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武器装备科研生产单位一级保密资格认定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武器装备科研生产单位一级保密资格证书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《中华人民共和国保守国家秘密法》《中华人民共和国保守国家秘密法实施条例》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国家保密局会同国家国防科工局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不再要求申请人提供上一年度财务审计报告等材料。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1.开展“双随机、一公开”监管，继续采取飞行检查，完善联动处置机制，发现违规行为的要依法查处。2.将监管结果纳入市场主体的社会信用记录，增强保密资质（格）单位的保密意识，提高保密管理水平。</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519</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国家保密局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武器装备科研生产单位二级、三级保密资格认定</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武器装备科研生产单位二级、三级保密资格证书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《中华人民共和国保守国家秘密法》</w:t>
            </w:r>
            <w:r>
              <w:rPr>
                <w:rFonts w:hint="eastAsia" w:ascii="仿宋_GB2312" w:hAnsi="仿宋_GB2312" w:eastAsia="仿宋_GB2312" w:cs="仿宋_GB2312"/>
                <w:sz w:val="21"/>
              </w:rPr>
              <w:br w:type="textWrapping"/>
            </w:r>
            <w:r>
              <w:rPr>
                <w:rFonts w:hint="eastAsia" w:ascii="仿宋_GB2312" w:hAnsi="仿宋_GB2312" w:eastAsia="仿宋_GB2312" w:cs="仿宋_GB2312"/>
                <w:sz w:val="21"/>
              </w:rPr>
              <w:t>《中华人民共和国保守国家秘密法实施条例》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省级保密部门会同同级国防科技工业部门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不再要求申请人提供上一年度财务审计报告等材料。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1.开展“双随机、一公开”监管，继续采取飞行检查，完善联动处置机制，发现违规行为的要依法查处。2.将监管结果纳入市场主体的社会信用记录，增强保密资质（格）单位的保密意识，提高保密管理水平。</w:t>
            </w:r>
          </w:p>
        </w:tc>
      </w:tr>
      <w:tr>
        <w:tblPrEx>
          <w:tblCellMar>
            <w:top w:w="0" w:type="dxa"/>
            <w:left w:w="108" w:type="dxa"/>
            <w:bottom w:w="0" w:type="dxa"/>
            <w:right w:w="108" w:type="dxa"/>
          </w:tblCellMar>
        </w:tblPrEx>
        <w:trPr>
          <w:trHeight w:val="2986" w:hRule="atLeast"/>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520</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国家密码局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商用密码产品质量检测机构审批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商用密码产品检测机构资质证书</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《商用密码管理条例》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国家密码局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不再要求申请人提供法人资格证明等材料。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对有投诉举报和质量问题的机构实施重点监管。3.加强信用监管，向社会公布商用密码产品质量检测机构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0"/>
              </w:tabs>
              <w:spacing w:line="28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521</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国家电影局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电影发行单位设立、变更业务范围或者兼并、合并、分立审批</w:t>
            </w:r>
          </w:p>
        </w:tc>
        <w:tc>
          <w:tcPr>
            <w:tcW w:w="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电影发行经营许可证</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《中华人民共和国电影产业促进法》《电影管理条例》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国家电影局；省级电影主管部门</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1.不再要求申请人提供营业执照等材料。2.将审批时限由20个工作日压减至14个工作日。</w:t>
            </w:r>
          </w:p>
          <w:p>
            <w:pPr>
              <w:spacing w:line="280" w:lineRule="exact"/>
              <w:ind w:firstLine="0"/>
              <w:jc w:val="both"/>
              <w:rPr>
                <w:rFonts w:hint="eastAsia" w:ascii="仿宋_GB2312" w:hAnsi="仿宋_GB2312" w:eastAsia="仿宋_GB2312" w:cs="仿宋_GB2312"/>
              </w:rPr>
            </w:pP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1.开展“双随机、一公开”监管，发现违法违规行为的要依法查处并公开结果。2.依法及时处理投诉举报。3.加强信用监管，向社会公布电影企业信用状况，对失信主体开展联合惩戒。4.发挥行业协会自律作用。</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522</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国家电影局</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境外电影机构在华设立办事机构审批</w:t>
            </w:r>
          </w:p>
        </w:tc>
        <w:tc>
          <w:tcPr>
            <w:tcW w:w="97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国家电影局关于同意××设立××办事机构的批复</w:t>
            </w:r>
          </w:p>
        </w:tc>
        <w:tc>
          <w:tcPr>
            <w:tcW w:w="10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《国务院对确需保留的行政审批项目设定行政许可的决定》《外国企业常驻代表机构登记管理条例》</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国家电影局</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不再要求申请人提供首席代表、代表的身份证复印件等材料。</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严格执行有关法律法规，重点关注境外电影机构在华办事机构的业务范围与活动，发现违法违规行为的要依法查处并公开结果。2.依法及时处理投诉举报。3.加强信用监管，向社会公布有关机构信用状况，对失信主体开展联合惩戒。</w:t>
            </w:r>
          </w:p>
        </w:tc>
      </w:tr>
      <w:tr>
        <w:tblPrEx>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numPr>
                <w:ilvl w:val="0"/>
                <w:numId w:val="0"/>
              </w:numPr>
              <w:tabs>
                <w:tab w:val="left" w:pos="0"/>
              </w:tabs>
              <w:spacing w:line="280" w:lineRule="exact"/>
              <w:jc w:val="center"/>
              <w:rPr>
                <w:rFonts w:hint="eastAsia" w:ascii="仿宋_GB2312" w:hAnsi="仿宋_GB2312" w:eastAsia="仿宋_GB2312" w:cs="仿宋_GB2312"/>
                <w:spacing w:val="-10"/>
                <w:sz w:val="21"/>
                <w:lang w:val="en-US" w:eastAsia="zh-CN"/>
              </w:rPr>
            </w:pPr>
            <w:r>
              <w:rPr>
                <w:rFonts w:hint="eastAsia" w:ascii="仿宋_GB2312" w:hAnsi="仿宋_GB2312" w:eastAsia="仿宋_GB2312" w:cs="仿宋_GB2312"/>
                <w:spacing w:val="-10"/>
                <w:sz w:val="21"/>
                <w:lang w:val="en-US" w:eastAsia="zh-CN"/>
              </w:rPr>
              <w:t>523</w:t>
            </w:r>
          </w:p>
        </w:tc>
        <w:tc>
          <w:tcPr>
            <w:tcW w:w="4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国家人防办</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人民防空工程防护设备定点生产企业资格认定</w:t>
            </w:r>
          </w:p>
        </w:tc>
        <w:tc>
          <w:tcPr>
            <w:tcW w:w="97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人民防空工程防护设备定点生产安装企业资格认定证书</w:t>
            </w:r>
          </w:p>
        </w:tc>
        <w:tc>
          <w:tcPr>
            <w:tcW w:w="10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《国务院对确需保留的行政审批项目设定行政许可的决定》</w:t>
            </w:r>
          </w:p>
        </w:tc>
        <w:tc>
          <w:tcPr>
            <w:tcW w:w="7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国家人防办</w:t>
            </w:r>
          </w:p>
        </w:tc>
        <w:tc>
          <w:tcPr>
            <w:tcW w:w="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p>
        </w:tc>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1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1.根据行业发展状况和技术特点，按照必要性和最简化原则，对防护设备实行目录管理。2.将审批时限由20个工作日压减至15个工作日。</w:t>
            </w:r>
          </w:p>
        </w:tc>
        <w:tc>
          <w:tcPr>
            <w:tcW w:w="40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双随机、一公开”监管，根据不同风险程度、信用水平，合理确定抽查比例。2.对有投诉举报和质量问题的企业实施重点监管。3.对人防企业的从业行为和产品质量实施“互联网+监管”，针对发现的普遍性问题和突发风险开展专项检查。4.加强信用监管，完善黑名单制度，建立失信主体联合惩戒制度。</w:t>
            </w:r>
          </w:p>
        </w:tc>
      </w:tr>
    </w:tbl>
    <w:p/>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《方案》附件</w:t>
      </w:r>
      <w:r>
        <w:rPr>
          <w:rFonts w:hint="eastAsia" w:ascii="黑体" w:hAnsi="黑体" w:eastAsia="黑体" w:cs="黑体"/>
          <w:sz w:val="32"/>
          <w:szCs w:val="32"/>
          <w:lang w:val="en-US" w:eastAsia="zh-CN"/>
        </w:rPr>
        <w:t>2</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证照分离”改革全覆盖试点事项清单</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（湖北省省级层面设定，20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年版）</w:t>
      </w:r>
    </w:p>
    <w:p>
      <w:pPr>
        <w:spacing w:line="600" w:lineRule="exact"/>
        <w:jc w:val="center"/>
        <w:rPr>
          <w:rFonts w:ascii="楷体_GB2312" w:eastAsia="楷体_GB2312"/>
          <w:sz w:val="24"/>
        </w:rPr>
      </w:pPr>
      <w:r>
        <w:rPr>
          <w:rFonts w:hint="eastAsia" w:ascii="楷体_GB2312" w:hAnsi="楷体_GB2312" w:eastAsia="楷体_GB2312" w:cs="楷体_GB2312"/>
          <w:sz w:val="32"/>
          <w:szCs w:val="32"/>
        </w:rPr>
        <w:t>（共</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项）</w:t>
      </w:r>
    </w:p>
    <w:tbl>
      <w:tblPr>
        <w:tblStyle w:val="6"/>
        <w:tblW w:w="14123" w:type="dxa"/>
        <w:jc w:val="center"/>
        <w:tblLayout w:type="fixed"/>
        <w:tblCellMar>
          <w:top w:w="0" w:type="dxa"/>
          <w:left w:w="108" w:type="dxa"/>
          <w:bottom w:w="0" w:type="dxa"/>
          <w:right w:w="108" w:type="dxa"/>
        </w:tblCellMar>
      </w:tblPr>
      <w:tblGrid>
        <w:gridCol w:w="428"/>
        <w:gridCol w:w="453"/>
        <w:gridCol w:w="1014"/>
        <w:gridCol w:w="1073"/>
        <w:gridCol w:w="1169"/>
        <w:gridCol w:w="703"/>
        <w:gridCol w:w="422"/>
        <w:gridCol w:w="413"/>
        <w:gridCol w:w="375"/>
        <w:gridCol w:w="400"/>
        <w:gridCol w:w="400"/>
        <w:gridCol w:w="2512"/>
        <w:gridCol w:w="4761"/>
      </w:tblGrid>
      <w:tr>
        <w:tblPrEx>
          <w:tblCellMar>
            <w:top w:w="0" w:type="dxa"/>
            <w:left w:w="108" w:type="dxa"/>
            <w:bottom w:w="0" w:type="dxa"/>
            <w:right w:w="108" w:type="dxa"/>
          </w:tblCellMar>
        </w:tblPrEx>
        <w:trPr>
          <w:tblHeader/>
          <w:jc w:val="center"/>
        </w:trPr>
        <w:tc>
          <w:tcPr>
            <w:tcW w:w="42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黑体" w:hAnsi="黑体" w:eastAsia="黑体" w:cs="黑体"/>
                <w:sz w:val="21"/>
              </w:rPr>
            </w:pPr>
            <w:r>
              <w:rPr>
                <w:rFonts w:hint="eastAsia" w:ascii="黑体" w:hAnsi="黑体" w:eastAsia="黑体" w:cs="黑体"/>
                <w:sz w:val="21"/>
              </w:rPr>
              <w:t>序号</w:t>
            </w:r>
          </w:p>
        </w:tc>
        <w:tc>
          <w:tcPr>
            <w:tcW w:w="45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黑体" w:hAnsi="黑体" w:eastAsia="黑体" w:cs="黑体"/>
                <w:sz w:val="21"/>
              </w:rPr>
            </w:pPr>
            <w:r>
              <w:rPr>
                <w:rFonts w:hint="eastAsia" w:ascii="黑体" w:hAnsi="黑体" w:eastAsia="黑体" w:cs="黑体"/>
                <w:sz w:val="21"/>
              </w:rPr>
              <w:t>主管部门</w:t>
            </w:r>
          </w:p>
        </w:tc>
        <w:tc>
          <w:tcPr>
            <w:tcW w:w="208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黑体" w:hAnsi="黑体" w:eastAsia="黑体" w:cs="黑体"/>
                <w:sz w:val="21"/>
              </w:rPr>
            </w:pPr>
            <w:r>
              <w:rPr>
                <w:rFonts w:hint="eastAsia" w:ascii="黑体" w:hAnsi="黑体" w:eastAsia="黑体" w:cs="黑体"/>
                <w:sz w:val="21"/>
              </w:rPr>
              <w:t>改革事项</w:t>
            </w:r>
          </w:p>
        </w:tc>
        <w:tc>
          <w:tcPr>
            <w:tcW w:w="116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黑体" w:hAnsi="黑体" w:eastAsia="黑体" w:cs="黑体"/>
                <w:sz w:val="21"/>
              </w:rPr>
            </w:pPr>
            <w:r>
              <w:rPr>
                <w:rFonts w:hint="eastAsia" w:ascii="黑体" w:hAnsi="黑体" w:eastAsia="黑体" w:cs="黑体"/>
                <w:sz w:val="21"/>
              </w:rPr>
              <w:t>设定依据</w:t>
            </w:r>
          </w:p>
        </w:tc>
        <w:tc>
          <w:tcPr>
            <w:tcW w:w="70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pPr>
            <w:r>
              <w:rPr>
                <w:rFonts w:hint="eastAsia" w:ascii="黑体" w:hAnsi="黑体" w:eastAsia="黑体" w:cs="黑体"/>
                <w:sz w:val="21"/>
              </w:rPr>
              <w:t>审批层级</w:t>
            </w:r>
          </w:p>
        </w:tc>
        <w:tc>
          <w:tcPr>
            <w:tcW w:w="422"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黑体" w:hAnsi="黑体" w:eastAsia="黑体" w:cs="黑体"/>
                <w:sz w:val="21"/>
                <w:lang w:eastAsia="zh-CN"/>
              </w:rPr>
            </w:pPr>
            <w:r>
              <w:rPr>
                <w:rFonts w:hint="eastAsia" w:ascii="黑体" w:hAnsi="黑体" w:eastAsia="黑体" w:cs="黑体"/>
                <w:sz w:val="21"/>
                <w:lang w:eastAsia="zh-CN"/>
              </w:rPr>
              <w:t>市级主管部门</w:t>
            </w:r>
          </w:p>
        </w:tc>
        <w:tc>
          <w:tcPr>
            <w:tcW w:w="1588" w:type="dxa"/>
            <w:gridSpan w:val="4"/>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黑体" w:hAnsi="黑体" w:eastAsia="黑体" w:cs="黑体"/>
                <w:sz w:val="21"/>
              </w:rPr>
            </w:pPr>
            <w:r>
              <w:rPr>
                <w:rFonts w:hint="eastAsia" w:ascii="黑体" w:hAnsi="黑体" w:eastAsia="黑体" w:cs="黑体"/>
                <w:sz w:val="21"/>
              </w:rPr>
              <w:t>改革方式</w:t>
            </w:r>
          </w:p>
        </w:tc>
        <w:tc>
          <w:tcPr>
            <w:tcW w:w="2512" w:type="dxa"/>
            <w:vMerge w:val="restar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黑体" w:hAnsi="黑体" w:eastAsia="黑体" w:cs="黑体"/>
                <w:sz w:val="21"/>
              </w:rPr>
            </w:pPr>
            <w:r>
              <w:rPr>
                <w:rFonts w:hint="eastAsia" w:ascii="黑体" w:hAnsi="黑体" w:eastAsia="黑体" w:cs="黑体"/>
                <w:sz w:val="21"/>
              </w:rPr>
              <w:t>具体改革举措</w:t>
            </w:r>
          </w:p>
        </w:tc>
        <w:tc>
          <w:tcPr>
            <w:tcW w:w="4761" w:type="dxa"/>
            <w:vMerge w:val="restar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黑体" w:hAnsi="黑体" w:eastAsia="黑体" w:cs="黑体"/>
                <w:sz w:val="21"/>
              </w:rPr>
            </w:pPr>
            <w:r>
              <w:rPr>
                <w:rFonts w:hint="eastAsia" w:ascii="黑体" w:hAnsi="黑体" w:eastAsia="黑体" w:cs="黑体"/>
                <w:sz w:val="21"/>
              </w:rPr>
              <w:t>加强事中事后监管措施</w:t>
            </w:r>
          </w:p>
        </w:tc>
      </w:tr>
      <w:tr>
        <w:tblPrEx>
          <w:tblCellMar>
            <w:top w:w="0" w:type="dxa"/>
            <w:left w:w="108" w:type="dxa"/>
            <w:bottom w:w="0" w:type="dxa"/>
            <w:right w:w="108" w:type="dxa"/>
          </w:tblCellMar>
        </w:tblPrEx>
        <w:trPr>
          <w:tblHeader/>
          <w:jc w:val="center"/>
        </w:trPr>
        <w:tc>
          <w:tcPr>
            <w:tcW w:w="4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ascii="仿宋" w:hAnsi="仿宋" w:eastAsia="仿宋"/>
                <w:sz w:val="21"/>
              </w:rPr>
            </w:pPr>
          </w:p>
        </w:tc>
        <w:tc>
          <w:tcPr>
            <w:tcW w:w="45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ascii="仿宋" w:hAnsi="仿宋" w:eastAsia="仿宋"/>
                <w:sz w:val="21"/>
              </w:rPr>
            </w:pPr>
          </w:p>
        </w:tc>
        <w:tc>
          <w:tcPr>
            <w:tcW w:w="10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主项名称</w:t>
            </w:r>
          </w:p>
        </w:tc>
        <w:tc>
          <w:tcPr>
            <w:tcW w:w="10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子项名称</w:t>
            </w:r>
          </w:p>
        </w:tc>
        <w:tc>
          <w:tcPr>
            <w:tcW w:w="116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ascii="仿宋" w:hAnsi="仿宋" w:eastAsia="仿宋"/>
                <w:sz w:val="21"/>
              </w:rPr>
            </w:pPr>
          </w:p>
        </w:tc>
        <w:tc>
          <w:tcPr>
            <w:tcW w:w="70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pPr>
          </w:p>
        </w:tc>
        <w:tc>
          <w:tcPr>
            <w:tcW w:w="422"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ascii="仿宋" w:hAnsi="仿宋" w:eastAsia="仿宋"/>
                <w:sz w:val="21"/>
              </w:rPr>
            </w:pPr>
          </w:p>
        </w:tc>
        <w:tc>
          <w:tcPr>
            <w:tcW w:w="413"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直接取消审批</w:t>
            </w:r>
          </w:p>
        </w:tc>
        <w:tc>
          <w:tcPr>
            <w:tcW w:w="37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审批改为备案</w:t>
            </w: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实行告知承诺</w:t>
            </w: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优化审批服务</w:t>
            </w:r>
          </w:p>
        </w:tc>
        <w:tc>
          <w:tcPr>
            <w:tcW w:w="2512" w:type="dxa"/>
            <w:vMerge w:val="continue"/>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ascii="仿宋" w:hAnsi="仿宋" w:eastAsia="仿宋"/>
                <w:sz w:val="21"/>
              </w:rPr>
            </w:pPr>
          </w:p>
        </w:tc>
        <w:tc>
          <w:tcPr>
            <w:tcW w:w="4761" w:type="dxa"/>
            <w:vMerge w:val="continue"/>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ascii="仿宋" w:hAnsi="仿宋" w:eastAsia="仿宋"/>
                <w:sz w:val="21"/>
              </w:rPr>
            </w:pPr>
          </w:p>
        </w:tc>
      </w:tr>
      <w:tr>
        <w:tblPrEx>
          <w:tblCellMar>
            <w:top w:w="0" w:type="dxa"/>
            <w:left w:w="108" w:type="dxa"/>
            <w:bottom w:w="0" w:type="dxa"/>
            <w:right w:w="108" w:type="dxa"/>
          </w:tblCellMar>
        </w:tblPrEx>
        <w:trPr>
          <w:jc w:val="center"/>
        </w:trPr>
        <w:tc>
          <w:tcPr>
            <w:tcW w:w="14123" w:type="dxa"/>
            <w:gridSpan w:val="13"/>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b/>
                <w:sz w:val="21"/>
                <w:szCs w:val="21"/>
              </w:rPr>
              <w:t>一、审批</w:t>
            </w:r>
            <w:r>
              <w:rPr>
                <w:rFonts w:hint="eastAsia" w:ascii="仿宋_GB2312" w:hAnsi="仿宋_GB2312" w:eastAsia="仿宋_GB2312" w:cs="仿宋_GB2312"/>
                <w:b/>
                <w:sz w:val="21"/>
                <w:szCs w:val="21"/>
                <w:lang w:eastAsia="zh-CN"/>
              </w:rPr>
              <w:t>层级为市级</w:t>
            </w:r>
            <w:r>
              <w:rPr>
                <w:rFonts w:hint="eastAsia" w:ascii="仿宋_GB2312" w:hAnsi="仿宋_GB2312" w:eastAsia="仿宋_GB2312" w:cs="仿宋_GB2312"/>
                <w:b/>
                <w:sz w:val="21"/>
                <w:szCs w:val="21"/>
              </w:rPr>
              <w:t>及以下类</w:t>
            </w:r>
            <w:r>
              <w:rPr>
                <w:rFonts w:hint="eastAsia" w:ascii="仿宋_GB2312" w:hAnsi="仿宋_GB2312" w:eastAsia="仿宋_GB2312" w:cs="仿宋_GB2312"/>
                <w:b/>
                <w:sz w:val="21"/>
                <w:szCs w:val="21"/>
                <w:lang w:eastAsia="zh-CN"/>
              </w:rPr>
              <w:t>（</w:t>
            </w:r>
            <w:r>
              <w:rPr>
                <w:rFonts w:hint="eastAsia" w:ascii="仿宋_GB2312" w:hAnsi="仿宋_GB2312" w:eastAsia="仿宋_GB2312" w:cs="仿宋_GB2312"/>
                <w:b/>
                <w:sz w:val="21"/>
                <w:szCs w:val="21"/>
              </w:rPr>
              <w:t>共</w:t>
            </w:r>
            <w:r>
              <w:rPr>
                <w:rFonts w:hint="eastAsia" w:ascii="仿宋_GB2312" w:hAnsi="仿宋_GB2312" w:eastAsia="仿宋_GB2312" w:cs="仿宋_GB2312"/>
                <w:b/>
                <w:sz w:val="21"/>
                <w:szCs w:val="21"/>
                <w:lang w:val="en-US" w:eastAsia="zh-CN"/>
              </w:rPr>
              <w:t>2</w:t>
            </w:r>
            <w:r>
              <w:rPr>
                <w:rFonts w:hint="eastAsia" w:ascii="仿宋_GB2312" w:hAnsi="仿宋_GB2312" w:eastAsia="仿宋_GB2312" w:cs="仿宋_GB2312"/>
                <w:b/>
                <w:sz w:val="21"/>
                <w:szCs w:val="21"/>
              </w:rPr>
              <w:t>项</w:t>
            </w:r>
            <w:r>
              <w:rPr>
                <w:rFonts w:hint="eastAsia" w:ascii="仿宋_GB2312" w:hAnsi="仿宋_GB2312" w:eastAsia="仿宋_GB2312" w:cs="仿宋_GB2312"/>
                <w:b/>
                <w:sz w:val="21"/>
                <w:szCs w:val="21"/>
                <w:lang w:eastAsia="zh-CN"/>
              </w:rPr>
              <w:t>）</w:t>
            </w:r>
          </w:p>
        </w:tc>
      </w:tr>
      <w:tr>
        <w:tblPrEx>
          <w:tblCellMar>
            <w:top w:w="0" w:type="dxa"/>
            <w:left w:w="108" w:type="dxa"/>
            <w:bottom w:w="0" w:type="dxa"/>
            <w:right w:w="108" w:type="dxa"/>
          </w:tblCellMar>
        </w:tblPrEx>
        <w:trPr>
          <w:jc w:val="center"/>
        </w:trPr>
        <w:tc>
          <w:tcPr>
            <w:tcW w:w="42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1</w:t>
            </w:r>
          </w:p>
        </w:tc>
        <w:tc>
          <w:tcPr>
            <w:tcW w:w="45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省民宗委</w:t>
            </w:r>
          </w:p>
        </w:tc>
        <w:tc>
          <w:tcPr>
            <w:tcW w:w="101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从事清真食品生产、经营单位的资质审批</w:t>
            </w:r>
          </w:p>
        </w:tc>
        <w:tc>
          <w:tcPr>
            <w:tcW w:w="107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从事清真食品生产、经营单位的资质审批</w:t>
            </w:r>
          </w:p>
        </w:tc>
        <w:tc>
          <w:tcPr>
            <w:tcW w:w="116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《湖北省散居少数民族工作条例》</w:t>
            </w:r>
          </w:p>
        </w:tc>
        <w:tc>
          <w:tcPr>
            <w:tcW w:w="70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省、市、县级</w:t>
            </w:r>
          </w:p>
        </w:tc>
        <w:tc>
          <w:tcPr>
            <w:tcW w:w="42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市民宗委</w:t>
            </w:r>
          </w:p>
        </w:tc>
        <w:tc>
          <w:tcPr>
            <w:tcW w:w="41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rPr>
            </w:pPr>
          </w:p>
        </w:tc>
        <w:tc>
          <w:tcPr>
            <w:tcW w:w="37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rPr>
            </w:pP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rPr>
            </w:pPr>
          </w:p>
        </w:tc>
        <w:tc>
          <w:tcPr>
            <w:tcW w:w="2512"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1.修改《湖北省散居少数民族工作条例》相关条款，取消对从事清真食品生产、经营单位的资质审批。2.对拟开展清真食品生产、销售的企业和个体经营者进行备案管理。</w:t>
            </w:r>
          </w:p>
        </w:tc>
        <w:tc>
          <w:tcPr>
            <w:tcW w:w="476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rPr>
              <w:t>1.开展“</w:t>
            </w:r>
            <w:bookmarkStart w:id="0" w:name="_GoBack"/>
            <w:bookmarkEnd w:id="0"/>
            <w:r>
              <w:rPr>
                <w:rFonts w:hint="eastAsia" w:ascii="仿宋_GB2312" w:hAnsi="仿宋_GB2312" w:eastAsia="仿宋_GB2312" w:cs="仿宋_GB2312"/>
                <w:sz w:val="21"/>
                <w:lang w:eastAsia="zh-CN"/>
              </w:rPr>
              <w:t>双随机、一公开</w:t>
            </w:r>
            <w:r>
              <w:rPr>
                <w:rFonts w:hint="eastAsia" w:ascii="仿宋_GB2312" w:hAnsi="仿宋_GB2312" w:eastAsia="仿宋_GB2312" w:cs="仿宋_GB2312"/>
                <w:sz w:val="21"/>
              </w:rPr>
              <w:t>”监管，强化清真食品“清真不清”和“清真概念泛化”监测和抽查，查处违法违规行为并公示处理结果。2.依法及时处理投诉举报，对被投诉举报企业和个体经营者实施重点监管。</w:t>
            </w:r>
          </w:p>
        </w:tc>
      </w:tr>
      <w:tr>
        <w:tblPrEx>
          <w:tblCellMar>
            <w:top w:w="0" w:type="dxa"/>
            <w:left w:w="108" w:type="dxa"/>
            <w:bottom w:w="0" w:type="dxa"/>
            <w:right w:w="108" w:type="dxa"/>
          </w:tblCellMar>
        </w:tblPrEx>
        <w:trPr>
          <w:jc w:val="center"/>
        </w:trPr>
        <w:tc>
          <w:tcPr>
            <w:tcW w:w="42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2</w:t>
            </w:r>
          </w:p>
        </w:tc>
        <w:tc>
          <w:tcPr>
            <w:tcW w:w="45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省地震局</w:t>
            </w:r>
          </w:p>
        </w:tc>
        <w:tc>
          <w:tcPr>
            <w:tcW w:w="1014"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影响地震观测环境的建设工程的审批</w:t>
            </w:r>
          </w:p>
        </w:tc>
        <w:tc>
          <w:tcPr>
            <w:tcW w:w="107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影响地震观测环境的建设工程的审批</w:t>
            </w:r>
          </w:p>
        </w:tc>
        <w:tc>
          <w:tcPr>
            <w:tcW w:w="116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《地震监测管理条例》《湖北省地震监测管理实施办法》</w:t>
            </w:r>
          </w:p>
        </w:tc>
        <w:tc>
          <w:tcPr>
            <w:tcW w:w="70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pPr>
            <w:r>
              <w:rPr>
                <w:rFonts w:hint="eastAsia" w:ascii="仿宋_GB2312" w:hAnsi="仿宋_GB2312" w:eastAsia="仿宋_GB2312" w:cs="仿宋_GB2312"/>
                <w:sz w:val="21"/>
              </w:rPr>
              <w:t>省、市、县级</w:t>
            </w:r>
          </w:p>
        </w:tc>
        <w:tc>
          <w:tcPr>
            <w:tcW w:w="42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市地震局</w:t>
            </w:r>
          </w:p>
        </w:tc>
        <w:tc>
          <w:tcPr>
            <w:tcW w:w="41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37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251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取消“影响地震观测环境的建设工程的审批”事项审批</w:t>
            </w:r>
            <w:r>
              <w:rPr>
                <w:rFonts w:hint="eastAsia" w:ascii="仿宋_GB2312" w:hAnsi="仿宋_GB2312" w:eastAsia="仿宋_GB2312" w:cs="仿宋_GB2312"/>
                <w:sz w:val="21"/>
                <w:lang w:eastAsia="zh-CN"/>
              </w:rPr>
              <w:t>。</w:t>
            </w:r>
          </w:p>
        </w:tc>
        <w:tc>
          <w:tcPr>
            <w:tcW w:w="4761"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1.对地震观测环境保护范围内的</w:t>
            </w:r>
            <w:r>
              <w:rPr>
                <w:rFonts w:hint="eastAsia" w:ascii="仿宋_GB2312" w:hAnsi="仿宋_GB2312" w:eastAsia="仿宋_GB2312" w:cs="仿宋_GB2312"/>
                <w:sz w:val="21"/>
              </w:rPr>
              <w:fldChar w:fldCharType="begin" w:fldLock="1"/>
            </w:r>
            <w:r>
              <w:rPr>
                <w:rFonts w:hint="eastAsia" w:ascii="仿宋_GB2312" w:hAnsi="仿宋_GB2312" w:eastAsia="仿宋_GB2312" w:cs="仿宋_GB2312"/>
                <w:sz w:val="21"/>
              </w:rPr>
              <w:instrText xml:space="preserve"> HYPERLINK "http://baike.baidu.com/view/138982.htm" \t "_blank" </w:instrText>
            </w:r>
            <w:r>
              <w:rPr>
                <w:rFonts w:hint="eastAsia" w:ascii="仿宋_GB2312" w:hAnsi="仿宋_GB2312" w:eastAsia="仿宋_GB2312" w:cs="仿宋_GB2312"/>
                <w:sz w:val="21"/>
              </w:rPr>
              <w:fldChar w:fldCharType="separate"/>
            </w:r>
            <w:r>
              <w:rPr>
                <w:rFonts w:hint="eastAsia" w:ascii="仿宋_GB2312" w:hAnsi="仿宋_GB2312" w:eastAsia="仿宋_GB2312" w:cs="仿宋_GB2312"/>
                <w:sz w:val="21"/>
              </w:rPr>
              <w:t>建设工程项目</w:t>
            </w:r>
            <w:r>
              <w:rPr>
                <w:rFonts w:hint="eastAsia" w:ascii="仿宋_GB2312" w:hAnsi="仿宋_GB2312" w:eastAsia="仿宋_GB2312" w:cs="仿宋_GB2312"/>
                <w:sz w:val="21"/>
              </w:rPr>
              <w:fldChar w:fldCharType="end"/>
            </w:r>
            <w:r>
              <w:rPr>
                <w:rFonts w:hint="eastAsia" w:ascii="仿宋_GB2312" w:hAnsi="仿宋_GB2312" w:eastAsia="仿宋_GB2312" w:cs="仿宋_GB2312"/>
                <w:sz w:val="21"/>
              </w:rPr>
              <w:t>，城乡规划主管部门在依法核发</w:t>
            </w:r>
            <w:r>
              <w:rPr>
                <w:rFonts w:hint="eastAsia" w:ascii="仿宋_GB2312" w:hAnsi="仿宋_GB2312" w:eastAsia="仿宋_GB2312" w:cs="仿宋_GB2312"/>
                <w:sz w:val="21"/>
              </w:rPr>
              <w:fldChar w:fldCharType="begin" w:fldLock="1"/>
            </w:r>
            <w:r>
              <w:rPr>
                <w:rFonts w:hint="eastAsia" w:ascii="仿宋_GB2312" w:hAnsi="仿宋_GB2312" w:eastAsia="仿宋_GB2312" w:cs="仿宋_GB2312"/>
                <w:sz w:val="21"/>
              </w:rPr>
              <w:instrText xml:space="preserve"> HYPERLINK "http://baike.baidu.com/view/427899.htm" \t "_blank" </w:instrText>
            </w:r>
            <w:r>
              <w:rPr>
                <w:rFonts w:hint="eastAsia" w:ascii="仿宋_GB2312" w:hAnsi="仿宋_GB2312" w:eastAsia="仿宋_GB2312" w:cs="仿宋_GB2312"/>
                <w:sz w:val="21"/>
              </w:rPr>
              <w:fldChar w:fldCharType="separate"/>
            </w:r>
            <w:r>
              <w:rPr>
                <w:rFonts w:hint="eastAsia" w:ascii="仿宋_GB2312" w:hAnsi="仿宋_GB2312" w:eastAsia="仿宋_GB2312" w:cs="仿宋_GB2312"/>
                <w:sz w:val="21"/>
              </w:rPr>
              <w:t>选址意见书</w:t>
            </w:r>
            <w:r>
              <w:rPr>
                <w:rFonts w:hint="eastAsia" w:ascii="仿宋_GB2312" w:hAnsi="仿宋_GB2312" w:eastAsia="仿宋_GB2312" w:cs="仿宋_GB2312"/>
                <w:sz w:val="21"/>
              </w:rPr>
              <w:fldChar w:fldCharType="end"/>
            </w:r>
            <w:r>
              <w:rPr>
                <w:rFonts w:hint="eastAsia" w:ascii="仿宋_GB2312" w:hAnsi="仿宋_GB2312" w:eastAsia="仿宋_GB2312" w:cs="仿宋_GB2312"/>
                <w:sz w:val="21"/>
              </w:rPr>
              <w:t>或</w:t>
            </w:r>
            <w:r>
              <w:rPr>
                <w:rFonts w:hint="eastAsia" w:ascii="仿宋_GB2312" w:hAnsi="仿宋_GB2312" w:eastAsia="仿宋_GB2312" w:cs="仿宋_GB2312"/>
                <w:sz w:val="21"/>
              </w:rPr>
              <w:fldChar w:fldCharType="begin" w:fldLock="1"/>
            </w:r>
            <w:r>
              <w:rPr>
                <w:rFonts w:hint="eastAsia" w:ascii="仿宋_GB2312" w:hAnsi="仿宋_GB2312" w:eastAsia="仿宋_GB2312" w:cs="仿宋_GB2312"/>
                <w:sz w:val="21"/>
              </w:rPr>
              <w:instrText xml:space="preserve"> HYPERLINK "http://baike.baidu.com/view/427898.htm" \t "_blank" </w:instrText>
            </w:r>
            <w:r>
              <w:rPr>
                <w:rFonts w:hint="eastAsia" w:ascii="仿宋_GB2312" w:hAnsi="仿宋_GB2312" w:eastAsia="仿宋_GB2312" w:cs="仿宋_GB2312"/>
                <w:sz w:val="21"/>
              </w:rPr>
              <w:fldChar w:fldCharType="separate"/>
            </w:r>
            <w:r>
              <w:rPr>
                <w:rFonts w:hint="eastAsia" w:ascii="仿宋_GB2312" w:hAnsi="仿宋_GB2312" w:eastAsia="仿宋_GB2312" w:cs="仿宋_GB2312"/>
                <w:sz w:val="21"/>
              </w:rPr>
              <w:t>建设用地规划许可证</w:t>
            </w:r>
            <w:r>
              <w:rPr>
                <w:rFonts w:hint="eastAsia" w:ascii="仿宋_GB2312" w:hAnsi="仿宋_GB2312" w:eastAsia="仿宋_GB2312" w:cs="仿宋_GB2312"/>
                <w:sz w:val="21"/>
              </w:rPr>
              <w:fldChar w:fldCharType="end"/>
            </w:r>
            <w:r>
              <w:rPr>
                <w:rFonts w:hint="eastAsia" w:ascii="仿宋_GB2312" w:hAnsi="仿宋_GB2312" w:eastAsia="仿宋_GB2312" w:cs="仿宋_GB2312"/>
                <w:sz w:val="21"/>
              </w:rPr>
              <w:t>（乡村建设规划许可证）时，应当征求负责管理地震工作的部门或者机构的意见；2.通过加强与住建、自然资源、公安等部门信息共享方式来加强地震观测环境的保护；3.开展重点监管，及时处理投诉举报。</w:t>
            </w:r>
          </w:p>
        </w:tc>
      </w:tr>
      <w:tr>
        <w:tblPrEx>
          <w:tblCellMar>
            <w:top w:w="0" w:type="dxa"/>
            <w:left w:w="108" w:type="dxa"/>
            <w:bottom w:w="0" w:type="dxa"/>
            <w:right w:w="108" w:type="dxa"/>
          </w:tblCellMar>
        </w:tblPrEx>
        <w:trPr>
          <w:jc w:val="center"/>
        </w:trPr>
        <w:tc>
          <w:tcPr>
            <w:tcW w:w="14123" w:type="dxa"/>
            <w:gridSpan w:val="13"/>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b/>
                <w:sz w:val="21"/>
                <w:szCs w:val="21"/>
                <w:lang w:eastAsia="zh-CN"/>
              </w:rPr>
              <w:t>二</w:t>
            </w:r>
            <w:r>
              <w:rPr>
                <w:rFonts w:hint="eastAsia" w:ascii="仿宋_GB2312" w:hAnsi="仿宋_GB2312" w:eastAsia="仿宋_GB2312" w:cs="仿宋_GB2312"/>
                <w:b/>
                <w:sz w:val="21"/>
                <w:szCs w:val="21"/>
              </w:rPr>
              <w:t>、审批</w:t>
            </w:r>
            <w:r>
              <w:rPr>
                <w:rFonts w:hint="eastAsia" w:ascii="仿宋_GB2312" w:hAnsi="仿宋_GB2312" w:eastAsia="仿宋_GB2312" w:cs="仿宋_GB2312"/>
                <w:b/>
                <w:sz w:val="21"/>
                <w:szCs w:val="21"/>
                <w:lang w:eastAsia="zh-CN"/>
              </w:rPr>
              <w:t>层级为省级</w:t>
            </w:r>
            <w:r>
              <w:rPr>
                <w:rFonts w:hint="eastAsia" w:ascii="仿宋_GB2312" w:hAnsi="仿宋_GB2312" w:eastAsia="仿宋_GB2312" w:cs="仿宋_GB2312"/>
                <w:b/>
                <w:sz w:val="21"/>
                <w:szCs w:val="21"/>
              </w:rPr>
              <w:t>及以</w:t>
            </w:r>
            <w:r>
              <w:rPr>
                <w:rFonts w:hint="eastAsia" w:ascii="仿宋_GB2312" w:hAnsi="仿宋_GB2312" w:eastAsia="仿宋_GB2312" w:cs="仿宋_GB2312"/>
                <w:b/>
                <w:sz w:val="21"/>
                <w:szCs w:val="21"/>
                <w:lang w:eastAsia="zh-CN"/>
              </w:rPr>
              <w:t>上</w:t>
            </w:r>
            <w:r>
              <w:rPr>
                <w:rFonts w:hint="eastAsia" w:ascii="仿宋_GB2312" w:hAnsi="仿宋_GB2312" w:eastAsia="仿宋_GB2312" w:cs="仿宋_GB2312"/>
                <w:b/>
                <w:sz w:val="21"/>
                <w:szCs w:val="21"/>
              </w:rPr>
              <w:t>类</w:t>
            </w:r>
            <w:r>
              <w:rPr>
                <w:rFonts w:hint="eastAsia" w:ascii="仿宋_GB2312" w:hAnsi="仿宋_GB2312" w:eastAsia="仿宋_GB2312" w:cs="仿宋_GB2312"/>
                <w:b/>
                <w:sz w:val="21"/>
                <w:szCs w:val="21"/>
                <w:lang w:eastAsia="zh-CN"/>
              </w:rPr>
              <w:t>（</w:t>
            </w:r>
            <w:r>
              <w:rPr>
                <w:rFonts w:hint="eastAsia" w:ascii="仿宋_GB2312" w:hAnsi="仿宋_GB2312" w:eastAsia="仿宋_GB2312" w:cs="仿宋_GB2312"/>
                <w:b/>
                <w:sz w:val="21"/>
                <w:szCs w:val="21"/>
              </w:rPr>
              <w:t>共</w:t>
            </w:r>
            <w:r>
              <w:rPr>
                <w:rFonts w:hint="eastAsia" w:ascii="仿宋_GB2312" w:hAnsi="仿宋_GB2312" w:eastAsia="仿宋_GB2312" w:cs="仿宋_GB2312"/>
                <w:b/>
                <w:sz w:val="21"/>
                <w:szCs w:val="21"/>
                <w:lang w:val="en-US" w:eastAsia="zh-CN"/>
              </w:rPr>
              <w:t>5</w:t>
            </w:r>
            <w:r>
              <w:rPr>
                <w:rFonts w:hint="eastAsia" w:ascii="仿宋_GB2312" w:hAnsi="仿宋_GB2312" w:eastAsia="仿宋_GB2312" w:cs="仿宋_GB2312"/>
                <w:b/>
                <w:sz w:val="21"/>
                <w:szCs w:val="21"/>
              </w:rPr>
              <w:t>项</w:t>
            </w:r>
            <w:r>
              <w:rPr>
                <w:rFonts w:hint="eastAsia" w:ascii="仿宋_GB2312" w:hAnsi="仿宋_GB2312" w:eastAsia="仿宋_GB2312" w:cs="仿宋_GB2312"/>
                <w:b/>
                <w:sz w:val="21"/>
                <w:szCs w:val="21"/>
                <w:lang w:eastAsia="zh-CN"/>
              </w:rPr>
              <w:t>）</w:t>
            </w:r>
          </w:p>
        </w:tc>
      </w:tr>
      <w:tr>
        <w:tblPrEx>
          <w:tblCellMar>
            <w:top w:w="0" w:type="dxa"/>
            <w:left w:w="108" w:type="dxa"/>
            <w:bottom w:w="0" w:type="dxa"/>
            <w:right w:w="108" w:type="dxa"/>
          </w:tblCellMar>
        </w:tblPrEx>
        <w:trPr>
          <w:jc w:val="center"/>
        </w:trPr>
        <w:tc>
          <w:tcPr>
            <w:tcW w:w="42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3</w:t>
            </w:r>
          </w:p>
        </w:tc>
        <w:tc>
          <w:tcPr>
            <w:tcW w:w="453" w:type="dxa"/>
            <w:vMerge w:val="restart"/>
            <w:tcBorders>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省委军民融合办</w:t>
            </w:r>
          </w:p>
        </w:tc>
        <w:tc>
          <w:tcPr>
            <w:tcW w:w="1014" w:type="dxa"/>
            <w:vMerge w:val="restart"/>
            <w:tcBorders>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船舶设计、修造、修理许可</w:t>
            </w:r>
          </w:p>
        </w:tc>
        <w:tc>
          <w:tcPr>
            <w:tcW w:w="107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船舶修造许可</w:t>
            </w:r>
          </w:p>
        </w:tc>
        <w:tc>
          <w:tcPr>
            <w:tcW w:w="116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《湖北省水路交通条例》</w:t>
            </w:r>
          </w:p>
        </w:tc>
        <w:tc>
          <w:tcPr>
            <w:tcW w:w="70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省级</w:t>
            </w:r>
          </w:p>
        </w:tc>
        <w:tc>
          <w:tcPr>
            <w:tcW w:w="42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rPr>
            </w:pPr>
          </w:p>
        </w:tc>
        <w:tc>
          <w:tcPr>
            <w:tcW w:w="41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rPr>
            </w:pPr>
          </w:p>
        </w:tc>
        <w:tc>
          <w:tcPr>
            <w:tcW w:w="37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2512" w:type="dxa"/>
            <w:vMerge w:val="restart"/>
            <w:tcBorders>
              <w:right w:val="single" w:color="000000" w:sz="4" w:space="0"/>
            </w:tcBorders>
            <w:tcMar>
              <w:top w:w="0" w:type="dxa"/>
              <w:left w:w="108" w:type="dxa"/>
              <w:bottom w:w="0" w:type="dxa"/>
              <w:right w:w="108" w:type="dxa"/>
            </w:tcMar>
            <w:vAlign w:val="center"/>
          </w:tcPr>
          <w:p>
            <w:pPr>
              <w:widowControl/>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暂时调整适用于湖北省人大常委会授权决定的《湖北省水路交通条例》第四十四条关于：“船舶设计、生产、修理企业应当依法取得省国防科工部门核发的相关许可证件，并按照核定范围开展生产经营活动，不得涂改、出租、转让许可证件”的规定，调整为：“船舶设计、修造、修理企业应当将生产条件向中共湖北省委军民融合发展委员会办公室（湖北省船舶工业管理办公室）申报备案，并根据其公示的企业生产'类别、级别'开展生产经营活动。”</w:t>
            </w:r>
          </w:p>
        </w:tc>
        <w:tc>
          <w:tcPr>
            <w:tcW w:w="4761" w:type="dxa"/>
            <w:vMerge w:val="restart"/>
            <w:tcBorders>
              <w:right w:val="single" w:color="000000" w:sz="4" w:space="0"/>
            </w:tcBorders>
            <w:tcMar>
              <w:top w:w="0" w:type="dxa"/>
              <w:left w:w="108" w:type="dxa"/>
              <w:bottom w:w="0" w:type="dxa"/>
              <w:right w:w="108" w:type="dxa"/>
            </w:tcMar>
            <w:vAlign w:val="center"/>
          </w:tcPr>
          <w:p>
            <w:pPr>
              <w:widowControl/>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1.聘请第三方机构对船舶设计、生产、修理企业生产条件进行认证。2.通过“</w:t>
            </w:r>
            <w:r>
              <w:rPr>
                <w:rFonts w:hint="eastAsia" w:ascii="仿宋_GB2312" w:hAnsi="仿宋_GB2312" w:eastAsia="仿宋_GB2312" w:cs="仿宋_GB2312"/>
                <w:sz w:val="21"/>
                <w:lang w:eastAsia="zh-CN"/>
              </w:rPr>
              <w:t>双随机、一公开</w:t>
            </w:r>
            <w:r>
              <w:rPr>
                <w:rFonts w:hint="eastAsia" w:ascii="仿宋_GB2312" w:hAnsi="仿宋_GB2312" w:eastAsia="仿宋_GB2312" w:cs="仿宋_GB2312"/>
                <w:sz w:val="21"/>
              </w:rPr>
              <w:t>”监管，重点监管等方式，依法查处违法违规生产、经营行为。3.加强信用监管，对社会公布信用状况，对失信企业进行惩戒并通报。</w:t>
            </w:r>
          </w:p>
        </w:tc>
      </w:tr>
      <w:tr>
        <w:tblPrEx>
          <w:tblCellMar>
            <w:top w:w="0" w:type="dxa"/>
            <w:left w:w="108" w:type="dxa"/>
            <w:bottom w:w="0" w:type="dxa"/>
            <w:right w:w="108" w:type="dxa"/>
          </w:tblCellMar>
        </w:tblPrEx>
        <w:trPr>
          <w:jc w:val="center"/>
        </w:trPr>
        <w:tc>
          <w:tcPr>
            <w:tcW w:w="42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4</w:t>
            </w:r>
          </w:p>
        </w:tc>
        <w:tc>
          <w:tcPr>
            <w:tcW w:w="453" w:type="dxa"/>
            <w:vMerge w:val="continue"/>
            <w:tcBorders>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1014" w:type="dxa"/>
            <w:vMerge w:val="continue"/>
            <w:tcBorders>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1073"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船舶设计许可</w:t>
            </w:r>
          </w:p>
        </w:tc>
        <w:tc>
          <w:tcPr>
            <w:tcW w:w="116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《湖北省水路交通条例》</w:t>
            </w:r>
          </w:p>
        </w:tc>
        <w:tc>
          <w:tcPr>
            <w:tcW w:w="70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pPr>
            <w:r>
              <w:rPr>
                <w:rFonts w:hint="eastAsia" w:ascii="仿宋_GB2312" w:hAnsi="仿宋_GB2312" w:eastAsia="仿宋_GB2312" w:cs="仿宋_GB2312"/>
                <w:sz w:val="21"/>
              </w:rPr>
              <w:t>省级</w:t>
            </w:r>
          </w:p>
        </w:tc>
        <w:tc>
          <w:tcPr>
            <w:tcW w:w="42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41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37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2512" w:type="dxa"/>
            <w:vMerge w:val="continue"/>
            <w:tcBorders>
              <w:right w:val="single" w:color="000000" w:sz="4" w:space="0"/>
            </w:tcBorders>
            <w:tcMar>
              <w:top w:w="0" w:type="dxa"/>
              <w:left w:w="108" w:type="dxa"/>
              <w:bottom w:w="0" w:type="dxa"/>
              <w:right w:w="108" w:type="dxa"/>
            </w:tcMar>
            <w:vAlign w:val="center"/>
          </w:tcPr>
          <w:p>
            <w:pPr>
              <w:widowControl/>
              <w:spacing w:line="280" w:lineRule="exact"/>
              <w:ind w:firstLine="0"/>
              <w:jc w:val="both"/>
              <w:rPr>
                <w:rFonts w:hint="eastAsia" w:ascii="仿宋_GB2312" w:hAnsi="仿宋_GB2312" w:eastAsia="仿宋_GB2312" w:cs="仿宋_GB2312"/>
                <w:sz w:val="21"/>
              </w:rPr>
            </w:pPr>
          </w:p>
        </w:tc>
        <w:tc>
          <w:tcPr>
            <w:tcW w:w="4761" w:type="dxa"/>
            <w:vMerge w:val="continue"/>
            <w:tcBorders>
              <w:right w:val="single" w:color="000000" w:sz="4" w:space="0"/>
            </w:tcBorders>
            <w:tcMar>
              <w:top w:w="0" w:type="dxa"/>
              <w:left w:w="108" w:type="dxa"/>
              <w:bottom w:w="0" w:type="dxa"/>
              <w:right w:w="108" w:type="dxa"/>
            </w:tcMar>
            <w:vAlign w:val="center"/>
          </w:tcPr>
          <w:p>
            <w:pPr>
              <w:widowControl/>
              <w:spacing w:line="280" w:lineRule="exact"/>
              <w:ind w:firstLine="0"/>
              <w:jc w:val="both"/>
              <w:rPr>
                <w:rFonts w:hint="eastAsia" w:ascii="仿宋_GB2312" w:hAnsi="仿宋_GB2312" w:eastAsia="仿宋_GB2312" w:cs="仿宋_GB2312"/>
                <w:sz w:val="21"/>
              </w:rPr>
            </w:pPr>
          </w:p>
        </w:tc>
      </w:tr>
      <w:tr>
        <w:tblPrEx>
          <w:tblCellMar>
            <w:top w:w="0" w:type="dxa"/>
            <w:left w:w="108" w:type="dxa"/>
            <w:bottom w:w="0" w:type="dxa"/>
            <w:right w:w="108" w:type="dxa"/>
          </w:tblCellMar>
        </w:tblPrEx>
        <w:trPr>
          <w:trHeight w:val="4033" w:hRule="atLeast"/>
          <w:jc w:val="center"/>
        </w:trPr>
        <w:tc>
          <w:tcPr>
            <w:tcW w:w="42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5</w:t>
            </w:r>
          </w:p>
        </w:tc>
        <w:tc>
          <w:tcPr>
            <w:tcW w:w="453" w:type="dxa"/>
            <w:vMerge w:val="continue"/>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1014" w:type="dxa"/>
            <w:vMerge w:val="continue"/>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1073"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船舶修理许可</w:t>
            </w:r>
          </w:p>
        </w:tc>
        <w:tc>
          <w:tcPr>
            <w:tcW w:w="116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《湖北省水路交通条例》</w:t>
            </w:r>
          </w:p>
        </w:tc>
        <w:tc>
          <w:tcPr>
            <w:tcW w:w="70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pPr>
            <w:r>
              <w:rPr>
                <w:rFonts w:hint="eastAsia" w:ascii="仿宋_GB2312" w:hAnsi="仿宋_GB2312" w:eastAsia="仿宋_GB2312" w:cs="仿宋_GB2312"/>
                <w:sz w:val="21"/>
              </w:rPr>
              <w:t>省级</w:t>
            </w:r>
          </w:p>
        </w:tc>
        <w:tc>
          <w:tcPr>
            <w:tcW w:w="42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41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37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2512" w:type="dxa"/>
            <w:vMerge w:val="continue"/>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both"/>
              <w:rPr>
                <w:rFonts w:hint="eastAsia" w:ascii="仿宋_GB2312" w:hAnsi="仿宋_GB2312" w:eastAsia="仿宋_GB2312" w:cs="仿宋_GB2312"/>
                <w:sz w:val="21"/>
              </w:rPr>
            </w:pPr>
          </w:p>
        </w:tc>
        <w:tc>
          <w:tcPr>
            <w:tcW w:w="4761" w:type="dxa"/>
            <w:vMerge w:val="continue"/>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both"/>
              <w:rPr>
                <w:rFonts w:hint="eastAsia" w:ascii="仿宋_GB2312" w:hAnsi="仿宋_GB2312" w:eastAsia="仿宋_GB2312" w:cs="仿宋_GB2312"/>
                <w:sz w:val="21"/>
              </w:rPr>
            </w:pPr>
          </w:p>
        </w:tc>
      </w:tr>
      <w:tr>
        <w:tblPrEx>
          <w:tblCellMar>
            <w:top w:w="0" w:type="dxa"/>
            <w:left w:w="108" w:type="dxa"/>
            <w:bottom w:w="0" w:type="dxa"/>
            <w:right w:w="108" w:type="dxa"/>
          </w:tblCellMar>
        </w:tblPrEx>
        <w:trPr>
          <w:jc w:val="center"/>
        </w:trPr>
        <w:tc>
          <w:tcPr>
            <w:tcW w:w="42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6</w:t>
            </w:r>
          </w:p>
        </w:tc>
        <w:tc>
          <w:tcPr>
            <w:tcW w:w="453"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省科技厅</w:t>
            </w:r>
          </w:p>
        </w:tc>
        <w:tc>
          <w:tcPr>
            <w:tcW w:w="101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实验动物生产和使用许可</w:t>
            </w:r>
          </w:p>
        </w:tc>
        <w:tc>
          <w:tcPr>
            <w:tcW w:w="107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实验动物生产许可</w:t>
            </w:r>
          </w:p>
        </w:tc>
        <w:tc>
          <w:tcPr>
            <w:tcW w:w="116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《湖北省实验动物管理条例》</w:t>
            </w:r>
          </w:p>
        </w:tc>
        <w:tc>
          <w:tcPr>
            <w:tcW w:w="70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pPr>
            <w:r>
              <w:rPr>
                <w:rFonts w:hint="eastAsia" w:ascii="仿宋_GB2312" w:hAnsi="仿宋_GB2312" w:eastAsia="仿宋_GB2312" w:cs="仿宋_GB2312"/>
                <w:sz w:val="21"/>
              </w:rPr>
              <w:t>省级</w:t>
            </w:r>
          </w:p>
        </w:tc>
        <w:tc>
          <w:tcPr>
            <w:tcW w:w="42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41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37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251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不再要求申请人提供营业执照复印件、工作人员体检证明、特殊工种证件复印件、经办人身份证复印件（含授权委托书）等材料</w:t>
            </w:r>
            <w:r>
              <w:rPr>
                <w:rFonts w:hint="eastAsia" w:ascii="仿宋_GB2312" w:hAnsi="仿宋_GB2312" w:eastAsia="仿宋_GB2312" w:cs="仿宋_GB2312"/>
                <w:sz w:val="21"/>
                <w:lang w:eastAsia="zh-CN"/>
              </w:rPr>
              <w:t>。</w:t>
            </w:r>
          </w:p>
        </w:tc>
        <w:tc>
          <w:tcPr>
            <w:tcW w:w="476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1.省科技厅组织相关单位和专家做好实验动物生产许可的相关事前咨询和服务工作。2.全面贯彻落实“</w:t>
            </w:r>
            <w:r>
              <w:rPr>
                <w:rFonts w:hint="eastAsia" w:ascii="仿宋_GB2312" w:hAnsi="仿宋_GB2312" w:eastAsia="仿宋_GB2312" w:cs="仿宋_GB2312"/>
                <w:sz w:val="21"/>
                <w:lang w:eastAsia="zh-CN"/>
              </w:rPr>
              <w:t>双随机、一公开</w:t>
            </w:r>
            <w:r>
              <w:rPr>
                <w:rFonts w:hint="eastAsia" w:ascii="仿宋_GB2312" w:hAnsi="仿宋_GB2312" w:eastAsia="仿宋_GB2312" w:cs="仿宋_GB2312"/>
                <w:sz w:val="21"/>
              </w:rPr>
              <w:t>”要求，规范实验动物生产监管，对发现的违法违规行为，依法查处并公布查处结果。公布联系方式，接受咨询、投诉、举报。3.初次申请的，对已取消的申报材料证明事项组织专家进行现场评估，进行合规性审查。</w:t>
            </w:r>
          </w:p>
        </w:tc>
      </w:tr>
      <w:tr>
        <w:tblPrEx>
          <w:tblCellMar>
            <w:top w:w="0" w:type="dxa"/>
            <w:left w:w="108" w:type="dxa"/>
            <w:bottom w:w="0" w:type="dxa"/>
            <w:right w:w="108" w:type="dxa"/>
          </w:tblCellMar>
        </w:tblPrEx>
        <w:trPr>
          <w:jc w:val="center"/>
        </w:trPr>
        <w:tc>
          <w:tcPr>
            <w:tcW w:w="42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7</w:t>
            </w:r>
          </w:p>
        </w:tc>
        <w:tc>
          <w:tcPr>
            <w:tcW w:w="453"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101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1073"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实验动物使用许可</w:t>
            </w:r>
          </w:p>
        </w:tc>
        <w:tc>
          <w:tcPr>
            <w:tcW w:w="1169"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《湖北省实验动物管理条例》</w:t>
            </w:r>
          </w:p>
        </w:tc>
        <w:tc>
          <w:tcPr>
            <w:tcW w:w="70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firstLineChars="0"/>
              <w:jc w:val="center"/>
            </w:pPr>
            <w:r>
              <w:rPr>
                <w:rFonts w:hint="eastAsia" w:ascii="仿宋_GB2312" w:hAnsi="仿宋_GB2312" w:eastAsia="仿宋_GB2312" w:cs="仿宋_GB2312"/>
                <w:sz w:val="21"/>
              </w:rPr>
              <w:t>省级</w:t>
            </w:r>
          </w:p>
        </w:tc>
        <w:tc>
          <w:tcPr>
            <w:tcW w:w="42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413"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375"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p>
        </w:tc>
        <w:tc>
          <w:tcPr>
            <w:tcW w:w="400"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2512"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不再要求申请人提供营业执照复印件、工作人员体检证明、特殊工种证件复印件、经办人身份证复印件（含授权委托书）等材料</w:t>
            </w:r>
            <w:r>
              <w:rPr>
                <w:rFonts w:hint="eastAsia" w:ascii="仿宋_GB2312" w:hAnsi="仿宋_GB2312" w:eastAsia="仿宋_GB2312" w:cs="仿宋_GB2312"/>
                <w:sz w:val="21"/>
                <w:lang w:eastAsia="zh-CN"/>
              </w:rPr>
              <w:t>。</w:t>
            </w:r>
          </w:p>
        </w:tc>
        <w:tc>
          <w:tcPr>
            <w:tcW w:w="4761" w:type="dxa"/>
            <w:tcBorders>
              <w:bottom w:val="single" w:color="000000" w:sz="4" w:space="0"/>
              <w:right w:val="single" w:color="000000" w:sz="4" w:space="0"/>
            </w:tcBorders>
            <w:tcMar>
              <w:top w:w="0" w:type="dxa"/>
              <w:left w:w="108" w:type="dxa"/>
              <w:bottom w:w="0" w:type="dxa"/>
              <w:right w:w="108" w:type="dxa"/>
            </w:tcMar>
            <w:vAlign w:val="center"/>
          </w:tcPr>
          <w:p>
            <w:pPr>
              <w:widowControl/>
              <w:spacing w:line="280" w:lineRule="exact"/>
              <w:ind w:firstLine="0"/>
              <w:jc w:val="both"/>
              <w:rPr>
                <w:rFonts w:hint="eastAsia" w:ascii="仿宋_GB2312" w:hAnsi="仿宋_GB2312" w:eastAsia="仿宋_GB2312" w:cs="仿宋_GB2312"/>
                <w:sz w:val="21"/>
              </w:rPr>
            </w:pPr>
            <w:r>
              <w:rPr>
                <w:rFonts w:hint="eastAsia" w:ascii="仿宋_GB2312" w:hAnsi="仿宋_GB2312" w:eastAsia="仿宋_GB2312" w:cs="仿宋_GB2312"/>
                <w:sz w:val="21"/>
              </w:rPr>
              <w:t>1.省科技厅组织相关单位和专家做好实验动物使用许可的相关事前咨询和服务工作。2.全面贯彻落实“</w:t>
            </w:r>
            <w:r>
              <w:rPr>
                <w:rFonts w:hint="eastAsia" w:ascii="仿宋_GB2312" w:hAnsi="仿宋_GB2312" w:eastAsia="仿宋_GB2312" w:cs="仿宋_GB2312"/>
                <w:sz w:val="21"/>
                <w:lang w:eastAsia="zh-CN"/>
              </w:rPr>
              <w:t>双随机、一公开</w:t>
            </w:r>
            <w:r>
              <w:rPr>
                <w:rFonts w:hint="eastAsia" w:ascii="仿宋_GB2312" w:hAnsi="仿宋_GB2312" w:eastAsia="仿宋_GB2312" w:cs="仿宋_GB2312"/>
                <w:sz w:val="21"/>
              </w:rPr>
              <w:t>”要求，规范实验动物使用监管，对发现的违法违规行为，依法查处并公布查处结果。公布联系方式，接受咨询、投诉、举报。3.初次申请的，对已取消的申报材料证明事项组织专家进行现场评估，进行合规性审查。</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pStyle w:val="2"/>
        <w:ind w:left="0" w:leftChars="0" w:firstLine="0" w:firstLineChars="0"/>
        <w:jc w:val="both"/>
        <w:rPr>
          <w:rFonts w:hint="eastAsia" w:ascii="黑体" w:hAnsi="黑体" w:eastAsia="黑体" w:cs="黑体"/>
          <w:sz w:val="32"/>
          <w:szCs w:val="32"/>
          <w:lang w:val="en-US" w:eastAsia="zh-CN"/>
        </w:rPr>
      </w:pPr>
    </w:p>
    <w:sectPr>
      <w:headerReference r:id="rId5" w:type="default"/>
      <w:footerReference r:id="rId6"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方正书宋_GBK"/>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隶书">
    <w:altName w:val="方正隶书_GBK"/>
    <w:panose1 w:val="0201050906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隶书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4758690</wp:posOffset>
              </wp:positionH>
              <wp:positionV relativeFrom="paragraph">
                <wp:posOffset>-133985</wp:posOffset>
              </wp:positionV>
              <wp:extent cx="515620" cy="28003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515620"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jc w:val="center"/>
                            <w:rPr>
                              <w:rFonts w:hint="eastAsia" w:ascii="隶书" w:hAnsi="隶书" w:eastAsia="隶书" w:cs="隶书"/>
                              <w:sz w:val="28"/>
                              <w:szCs w:val="28"/>
                              <w:lang w:eastAsia="zh-CN"/>
                            </w:rPr>
                          </w:pPr>
                          <w:r>
                            <w:rPr>
                              <w:rFonts w:hint="eastAsia" w:ascii="隶书" w:hAnsi="隶书" w:eastAsia="隶书" w:cs="隶书"/>
                              <w:sz w:val="28"/>
                              <w:szCs w:val="28"/>
                              <w:lang w:eastAsia="zh-CN"/>
                            </w:rPr>
                            <w:t>—</w:t>
                          </w:r>
                          <w:r>
                            <w:rPr>
                              <w:rFonts w:hint="eastAsia" w:ascii="隶书" w:hAnsi="隶书" w:eastAsia="隶书" w:cs="隶书"/>
                              <w:sz w:val="28"/>
                              <w:szCs w:val="28"/>
                              <w:lang w:eastAsia="zh-CN"/>
                            </w:rPr>
                            <w:fldChar w:fldCharType="begin"/>
                          </w:r>
                          <w:r>
                            <w:rPr>
                              <w:rFonts w:hint="eastAsia" w:ascii="隶书" w:hAnsi="隶书" w:eastAsia="隶书" w:cs="隶书"/>
                              <w:sz w:val="28"/>
                              <w:szCs w:val="28"/>
                              <w:lang w:eastAsia="zh-CN"/>
                            </w:rPr>
                            <w:instrText xml:space="preserve"> PAGE  \* MERGEFORMAT </w:instrText>
                          </w:r>
                          <w:r>
                            <w:rPr>
                              <w:rFonts w:hint="eastAsia" w:ascii="隶书" w:hAnsi="隶书" w:eastAsia="隶书" w:cs="隶书"/>
                              <w:sz w:val="28"/>
                              <w:szCs w:val="28"/>
                              <w:lang w:eastAsia="zh-CN"/>
                            </w:rPr>
                            <w:fldChar w:fldCharType="separate"/>
                          </w:r>
                          <w:r>
                            <w:rPr>
                              <w:rFonts w:hint="eastAsia" w:ascii="隶书" w:hAnsi="隶书" w:eastAsia="隶书" w:cs="隶书"/>
                              <w:sz w:val="28"/>
                              <w:szCs w:val="28"/>
                            </w:rPr>
                            <w:t>1</w:t>
                          </w:r>
                          <w:r>
                            <w:rPr>
                              <w:rFonts w:hint="eastAsia" w:ascii="隶书" w:hAnsi="隶书" w:eastAsia="隶书" w:cs="隶书"/>
                              <w:sz w:val="28"/>
                              <w:szCs w:val="28"/>
                              <w:lang w:eastAsia="zh-CN"/>
                            </w:rPr>
                            <w:fldChar w:fldCharType="end"/>
                          </w:r>
                          <w:r>
                            <w:rPr>
                              <w:rFonts w:hint="eastAsia" w:ascii="隶书" w:hAnsi="隶书" w:eastAsia="隶书" w:cs="隶书"/>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374.7pt;margin-top:-10.55pt;height:22.05pt;width:40.6pt;mso-position-horizontal-relative:margin;z-index:251659264;mso-width-relative:page;mso-height-relative:page;" filled="f" stroked="f" coordsize="21600,21600" o:gfxdata="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RQ0ok2gAAAAoBAAAPAAAAAAAAAAEAIAAAADgAAABkcnMvZG93&#10;bnJldi54bWxQSwECFAAUAAAACACHTuJAEC3L1yECAAApBAAADgAAAAAAAAABACAAAAA/AQAAZHJz&#10;L2Uyb0RvYy54bWxQSwUGAAAAAAYABgBZAQAA0gUAAAAA&#10;">
              <v:fill on="f" focussize="0,0"/>
              <v:stroke on="f" weight="0.5pt"/>
              <v:imagedata o:title=""/>
              <o:lock v:ext="edit" aspectratio="f"/>
              <v:textbox inset="0mm,0mm,0mm,0mm">
                <w:txbxContent>
                  <w:p>
                    <w:pPr>
                      <w:snapToGrid w:val="0"/>
                      <w:jc w:val="center"/>
                      <w:rPr>
                        <w:rFonts w:hint="eastAsia" w:ascii="隶书" w:hAnsi="隶书" w:eastAsia="隶书" w:cs="隶书"/>
                        <w:sz w:val="28"/>
                        <w:szCs w:val="28"/>
                        <w:lang w:eastAsia="zh-CN"/>
                      </w:rPr>
                    </w:pPr>
                    <w:r>
                      <w:rPr>
                        <w:rFonts w:hint="eastAsia" w:ascii="隶书" w:hAnsi="隶书" w:eastAsia="隶书" w:cs="隶书"/>
                        <w:sz w:val="28"/>
                        <w:szCs w:val="28"/>
                        <w:lang w:eastAsia="zh-CN"/>
                      </w:rPr>
                      <w:t>—</w:t>
                    </w:r>
                    <w:r>
                      <w:rPr>
                        <w:rFonts w:hint="eastAsia" w:ascii="隶书" w:hAnsi="隶书" w:eastAsia="隶书" w:cs="隶书"/>
                        <w:sz w:val="28"/>
                        <w:szCs w:val="28"/>
                        <w:lang w:eastAsia="zh-CN"/>
                      </w:rPr>
                      <w:fldChar w:fldCharType="begin"/>
                    </w:r>
                    <w:r>
                      <w:rPr>
                        <w:rFonts w:hint="eastAsia" w:ascii="隶书" w:hAnsi="隶书" w:eastAsia="隶书" w:cs="隶书"/>
                        <w:sz w:val="28"/>
                        <w:szCs w:val="28"/>
                        <w:lang w:eastAsia="zh-CN"/>
                      </w:rPr>
                      <w:instrText xml:space="preserve"> PAGE  \* MERGEFORMAT </w:instrText>
                    </w:r>
                    <w:r>
                      <w:rPr>
                        <w:rFonts w:hint="eastAsia" w:ascii="隶书" w:hAnsi="隶书" w:eastAsia="隶书" w:cs="隶书"/>
                        <w:sz w:val="28"/>
                        <w:szCs w:val="28"/>
                        <w:lang w:eastAsia="zh-CN"/>
                      </w:rPr>
                      <w:fldChar w:fldCharType="separate"/>
                    </w:r>
                    <w:r>
                      <w:rPr>
                        <w:rFonts w:hint="eastAsia" w:ascii="隶书" w:hAnsi="隶书" w:eastAsia="隶书" w:cs="隶书"/>
                        <w:sz w:val="28"/>
                        <w:szCs w:val="28"/>
                      </w:rPr>
                      <w:t>1</w:t>
                    </w:r>
                    <w:r>
                      <w:rPr>
                        <w:rFonts w:hint="eastAsia" w:ascii="隶书" w:hAnsi="隶书" w:eastAsia="隶书" w:cs="隶书"/>
                        <w:sz w:val="28"/>
                        <w:szCs w:val="28"/>
                        <w:lang w:eastAsia="zh-CN"/>
                      </w:rPr>
                      <w:fldChar w:fldCharType="end"/>
                    </w:r>
                    <w:r>
                      <w:rPr>
                        <w:rFonts w:hint="eastAsia" w:ascii="隶书" w:hAnsi="隶书" w:eastAsia="隶书" w:cs="隶书"/>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-118745</wp:posOffset>
              </wp:positionV>
              <wp:extent cx="484505" cy="26479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484505" cy="264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jc w:val="center"/>
                            <w:rPr>
                              <w:rFonts w:hint="eastAsia" w:ascii="隶书" w:hAnsi="隶书" w:eastAsia="隶书" w:cs="隶书"/>
                              <w:sz w:val="28"/>
                              <w:szCs w:val="28"/>
                              <w:lang w:eastAsia="zh-CN"/>
                            </w:rPr>
                          </w:pPr>
                          <w:r>
                            <w:rPr>
                              <w:rFonts w:hint="eastAsia" w:ascii="隶书" w:hAnsi="隶书" w:eastAsia="隶书" w:cs="隶书"/>
                              <w:sz w:val="28"/>
                              <w:szCs w:val="28"/>
                              <w:lang w:eastAsia="zh-CN"/>
                            </w:rPr>
                            <w:t>—</w:t>
                          </w:r>
                          <w:r>
                            <w:rPr>
                              <w:rFonts w:hint="eastAsia" w:ascii="隶书" w:hAnsi="隶书" w:eastAsia="隶书" w:cs="隶书"/>
                              <w:sz w:val="28"/>
                              <w:szCs w:val="28"/>
                              <w:lang w:eastAsia="zh-CN"/>
                            </w:rPr>
                            <w:fldChar w:fldCharType="begin"/>
                          </w:r>
                          <w:r>
                            <w:rPr>
                              <w:rFonts w:hint="eastAsia" w:ascii="隶书" w:hAnsi="隶书" w:eastAsia="隶书" w:cs="隶书"/>
                              <w:sz w:val="28"/>
                              <w:szCs w:val="28"/>
                              <w:lang w:eastAsia="zh-CN"/>
                            </w:rPr>
                            <w:instrText xml:space="preserve"> PAGE  \* MERGEFORMAT </w:instrText>
                          </w:r>
                          <w:r>
                            <w:rPr>
                              <w:rFonts w:hint="eastAsia" w:ascii="隶书" w:hAnsi="隶书" w:eastAsia="隶书" w:cs="隶书"/>
                              <w:sz w:val="28"/>
                              <w:szCs w:val="28"/>
                              <w:lang w:eastAsia="zh-CN"/>
                            </w:rPr>
                            <w:fldChar w:fldCharType="separate"/>
                          </w:r>
                          <w:r>
                            <w:rPr>
                              <w:rFonts w:hint="eastAsia" w:ascii="隶书" w:hAnsi="隶书" w:eastAsia="隶书" w:cs="隶书"/>
                              <w:sz w:val="28"/>
                              <w:szCs w:val="28"/>
                            </w:rPr>
                            <w:t>1</w:t>
                          </w:r>
                          <w:r>
                            <w:rPr>
                              <w:rFonts w:hint="eastAsia" w:ascii="隶书" w:hAnsi="隶书" w:eastAsia="隶书" w:cs="隶书"/>
                              <w:sz w:val="28"/>
                              <w:szCs w:val="28"/>
                              <w:lang w:eastAsia="zh-CN"/>
                            </w:rPr>
                            <w:fldChar w:fldCharType="end"/>
                          </w:r>
                          <w:r>
                            <w:rPr>
                              <w:rFonts w:hint="eastAsia" w:ascii="隶书" w:hAnsi="隶书" w:eastAsia="隶书" w:cs="隶书"/>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9.35pt;height:20.85pt;width:38.15pt;mso-position-horizontal:outside;mso-position-horizontal-relative:margin;z-index:251658240;mso-width-relative:page;mso-height-relative:page;" filled="f" stroked="f" coordsize="21600,21600" o:gfxdata="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QFbqwtYAAAAGAQAADwAAAAAAAAABACAAAAA4AAAAZHJzL2Rvd25yZXYu&#10;eG1sUEsBAhQAFAAAAAgAh07iQO3L4FggAgAAKQQAAA4AAAAAAAAAAQAgAAAAOwEAAGRycy9lMm9E&#10;b2MueG1sUEsFBgAAAAAGAAYAWQEAAM0FAAAAAA==&#10;">
              <v:fill on="f" focussize="0,0"/>
              <v:stroke on="f" weight="0.5pt"/>
              <v:imagedata o:title=""/>
              <o:lock v:ext="edit" aspectratio="f"/>
              <v:textbox inset="0mm,0mm,0mm,0mm">
                <w:txbxContent>
                  <w:p>
                    <w:pPr>
                      <w:snapToGrid w:val="0"/>
                      <w:jc w:val="center"/>
                      <w:rPr>
                        <w:rFonts w:hint="eastAsia" w:ascii="隶书" w:hAnsi="隶书" w:eastAsia="隶书" w:cs="隶书"/>
                        <w:sz w:val="28"/>
                        <w:szCs w:val="28"/>
                        <w:lang w:eastAsia="zh-CN"/>
                      </w:rPr>
                    </w:pPr>
                    <w:r>
                      <w:rPr>
                        <w:rFonts w:hint="eastAsia" w:ascii="隶书" w:hAnsi="隶书" w:eastAsia="隶书" w:cs="隶书"/>
                        <w:sz w:val="28"/>
                        <w:szCs w:val="28"/>
                        <w:lang w:eastAsia="zh-CN"/>
                      </w:rPr>
                      <w:t>—</w:t>
                    </w:r>
                    <w:r>
                      <w:rPr>
                        <w:rFonts w:hint="eastAsia" w:ascii="隶书" w:hAnsi="隶书" w:eastAsia="隶书" w:cs="隶书"/>
                        <w:sz w:val="28"/>
                        <w:szCs w:val="28"/>
                        <w:lang w:eastAsia="zh-CN"/>
                      </w:rPr>
                      <w:fldChar w:fldCharType="begin"/>
                    </w:r>
                    <w:r>
                      <w:rPr>
                        <w:rFonts w:hint="eastAsia" w:ascii="隶书" w:hAnsi="隶书" w:eastAsia="隶书" w:cs="隶书"/>
                        <w:sz w:val="28"/>
                        <w:szCs w:val="28"/>
                        <w:lang w:eastAsia="zh-CN"/>
                      </w:rPr>
                      <w:instrText xml:space="preserve"> PAGE  \* MERGEFORMAT </w:instrText>
                    </w:r>
                    <w:r>
                      <w:rPr>
                        <w:rFonts w:hint="eastAsia" w:ascii="隶书" w:hAnsi="隶书" w:eastAsia="隶书" w:cs="隶书"/>
                        <w:sz w:val="28"/>
                        <w:szCs w:val="28"/>
                        <w:lang w:eastAsia="zh-CN"/>
                      </w:rPr>
                      <w:fldChar w:fldCharType="separate"/>
                    </w:r>
                    <w:r>
                      <w:rPr>
                        <w:rFonts w:hint="eastAsia" w:ascii="隶书" w:hAnsi="隶书" w:eastAsia="隶书" w:cs="隶书"/>
                        <w:sz w:val="28"/>
                        <w:szCs w:val="28"/>
                      </w:rPr>
                      <w:t>1</w:t>
                    </w:r>
                    <w:r>
                      <w:rPr>
                        <w:rFonts w:hint="eastAsia" w:ascii="隶书" w:hAnsi="隶书" w:eastAsia="隶书" w:cs="隶书"/>
                        <w:sz w:val="28"/>
                        <w:szCs w:val="28"/>
                        <w:lang w:eastAsia="zh-CN"/>
                      </w:rPr>
                      <w:fldChar w:fldCharType="end"/>
                    </w:r>
                    <w:r>
                      <w:rPr>
                        <w:rFonts w:hint="eastAsia" w:ascii="隶书" w:hAnsi="隶书" w:eastAsia="隶书" w:cs="隶书"/>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58D6"/>
    <w:rsid w:val="003078DE"/>
    <w:rsid w:val="0050558B"/>
    <w:rsid w:val="008C0F8D"/>
    <w:rsid w:val="008D79D4"/>
    <w:rsid w:val="00D66731"/>
    <w:rsid w:val="014B7EEE"/>
    <w:rsid w:val="015914B6"/>
    <w:rsid w:val="015E7685"/>
    <w:rsid w:val="0163382E"/>
    <w:rsid w:val="017E7D58"/>
    <w:rsid w:val="01884A9E"/>
    <w:rsid w:val="01D46D28"/>
    <w:rsid w:val="0256378D"/>
    <w:rsid w:val="02B6003E"/>
    <w:rsid w:val="02BE0827"/>
    <w:rsid w:val="02CE21E1"/>
    <w:rsid w:val="032B7240"/>
    <w:rsid w:val="032D5298"/>
    <w:rsid w:val="03431193"/>
    <w:rsid w:val="034E165C"/>
    <w:rsid w:val="036373FF"/>
    <w:rsid w:val="036C1F03"/>
    <w:rsid w:val="038779AF"/>
    <w:rsid w:val="039D7A57"/>
    <w:rsid w:val="042B2080"/>
    <w:rsid w:val="04300DDC"/>
    <w:rsid w:val="0440608C"/>
    <w:rsid w:val="046608D9"/>
    <w:rsid w:val="04913C45"/>
    <w:rsid w:val="04AC3235"/>
    <w:rsid w:val="04B70A20"/>
    <w:rsid w:val="04E76AA3"/>
    <w:rsid w:val="050E0E8D"/>
    <w:rsid w:val="051E0CFE"/>
    <w:rsid w:val="056938E2"/>
    <w:rsid w:val="057879A3"/>
    <w:rsid w:val="059C1EE9"/>
    <w:rsid w:val="05DD57F0"/>
    <w:rsid w:val="05E26A0B"/>
    <w:rsid w:val="061874A2"/>
    <w:rsid w:val="061B5DAF"/>
    <w:rsid w:val="0634306F"/>
    <w:rsid w:val="065D31E0"/>
    <w:rsid w:val="066A3902"/>
    <w:rsid w:val="0698575C"/>
    <w:rsid w:val="06A2156C"/>
    <w:rsid w:val="06B734C8"/>
    <w:rsid w:val="06D509D3"/>
    <w:rsid w:val="072809A3"/>
    <w:rsid w:val="079E50F3"/>
    <w:rsid w:val="07CB5A13"/>
    <w:rsid w:val="07EA3200"/>
    <w:rsid w:val="07ED0E73"/>
    <w:rsid w:val="081231A4"/>
    <w:rsid w:val="08347321"/>
    <w:rsid w:val="083631D9"/>
    <w:rsid w:val="085B3FF9"/>
    <w:rsid w:val="08BA1682"/>
    <w:rsid w:val="08E56AF8"/>
    <w:rsid w:val="093860B4"/>
    <w:rsid w:val="09703F99"/>
    <w:rsid w:val="097F70C7"/>
    <w:rsid w:val="098919F2"/>
    <w:rsid w:val="098D1A4F"/>
    <w:rsid w:val="098F68F7"/>
    <w:rsid w:val="09AD35D8"/>
    <w:rsid w:val="0A1E159F"/>
    <w:rsid w:val="0A610034"/>
    <w:rsid w:val="0AB01F9F"/>
    <w:rsid w:val="0AC044D8"/>
    <w:rsid w:val="0B360E46"/>
    <w:rsid w:val="0B4211FA"/>
    <w:rsid w:val="0B462599"/>
    <w:rsid w:val="0B5C2ACA"/>
    <w:rsid w:val="0B832135"/>
    <w:rsid w:val="0BC42E55"/>
    <w:rsid w:val="0BEB547E"/>
    <w:rsid w:val="0C42135E"/>
    <w:rsid w:val="0C4F4315"/>
    <w:rsid w:val="0C5D3E97"/>
    <w:rsid w:val="0C5D4F76"/>
    <w:rsid w:val="0C993D05"/>
    <w:rsid w:val="0CFA3C40"/>
    <w:rsid w:val="0D345FBB"/>
    <w:rsid w:val="0D372669"/>
    <w:rsid w:val="0D385574"/>
    <w:rsid w:val="0D5B5457"/>
    <w:rsid w:val="0D664334"/>
    <w:rsid w:val="0DCD334F"/>
    <w:rsid w:val="0DD81C43"/>
    <w:rsid w:val="0E323158"/>
    <w:rsid w:val="0E3C1D97"/>
    <w:rsid w:val="0E3C1F83"/>
    <w:rsid w:val="0E5721D3"/>
    <w:rsid w:val="0E8B429D"/>
    <w:rsid w:val="0EAB08A8"/>
    <w:rsid w:val="0EC870E8"/>
    <w:rsid w:val="0ECF46EF"/>
    <w:rsid w:val="0EF012DE"/>
    <w:rsid w:val="0EF4422B"/>
    <w:rsid w:val="0F360CA0"/>
    <w:rsid w:val="0F3C19EF"/>
    <w:rsid w:val="0F411A78"/>
    <w:rsid w:val="0F5263A3"/>
    <w:rsid w:val="0F877B05"/>
    <w:rsid w:val="0FA42011"/>
    <w:rsid w:val="0FBD6729"/>
    <w:rsid w:val="0FCC62DE"/>
    <w:rsid w:val="0FD2521C"/>
    <w:rsid w:val="0FED172D"/>
    <w:rsid w:val="0FF14BBD"/>
    <w:rsid w:val="0FF47FAB"/>
    <w:rsid w:val="1009256B"/>
    <w:rsid w:val="10177A7B"/>
    <w:rsid w:val="103212D6"/>
    <w:rsid w:val="106B05B0"/>
    <w:rsid w:val="10BC4A5E"/>
    <w:rsid w:val="10D46EE8"/>
    <w:rsid w:val="11021622"/>
    <w:rsid w:val="111F6B43"/>
    <w:rsid w:val="113E0130"/>
    <w:rsid w:val="114F2991"/>
    <w:rsid w:val="11623296"/>
    <w:rsid w:val="117F3CEA"/>
    <w:rsid w:val="119162C4"/>
    <w:rsid w:val="120533A6"/>
    <w:rsid w:val="12327C11"/>
    <w:rsid w:val="125F1D18"/>
    <w:rsid w:val="12735EF2"/>
    <w:rsid w:val="128A1AF3"/>
    <w:rsid w:val="129A490B"/>
    <w:rsid w:val="12BF47AA"/>
    <w:rsid w:val="12E84B4B"/>
    <w:rsid w:val="134E32A0"/>
    <w:rsid w:val="138542D1"/>
    <w:rsid w:val="13913501"/>
    <w:rsid w:val="13B32A8C"/>
    <w:rsid w:val="13B36557"/>
    <w:rsid w:val="13C35922"/>
    <w:rsid w:val="13CA7146"/>
    <w:rsid w:val="14257501"/>
    <w:rsid w:val="14D343AF"/>
    <w:rsid w:val="14F87A0D"/>
    <w:rsid w:val="15073602"/>
    <w:rsid w:val="156B772C"/>
    <w:rsid w:val="157E10FC"/>
    <w:rsid w:val="158050D3"/>
    <w:rsid w:val="158A4272"/>
    <w:rsid w:val="15BE732B"/>
    <w:rsid w:val="15EA0B6F"/>
    <w:rsid w:val="15EA3021"/>
    <w:rsid w:val="16422739"/>
    <w:rsid w:val="16633072"/>
    <w:rsid w:val="167D0713"/>
    <w:rsid w:val="16D719B0"/>
    <w:rsid w:val="16EE5C5A"/>
    <w:rsid w:val="16FF35E3"/>
    <w:rsid w:val="17145104"/>
    <w:rsid w:val="17283116"/>
    <w:rsid w:val="17546D60"/>
    <w:rsid w:val="17553CE6"/>
    <w:rsid w:val="176B2E32"/>
    <w:rsid w:val="179B1D5C"/>
    <w:rsid w:val="179D323D"/>
    <w:rsid w:val="17CA4E48"/>
    <w:rsid w:val="17EC5075"/>
    <w:rsid w:val="182311C3"/>
    <w:rsid w:val="18483110"/>
    <w:rsid w:val="184E3038"/>
    <w:rsid w:val="18BC6CC6"/>
    <w:rsid w:val="18D5378B"/>
    <w:rsid w:val="18DB3827"/>
    <w:rsid w:val="18DF5B4A"/>
    <w:rsid w:val="18E5280C"/>
    <w:rsid w:val="18E81B18"/>
    <w:rsid w:val="194D318A"/>
    <w:rsid w:val="1956782D"/>
    <w:rsid w:val="196D7F6C"/>
    <w:rsid w:val="19AA1377"/>
    <w:rsid w:val="19DE5B50"/>
    <w:rsid w:val="19EA1BD1"/>
    <w:rsid w:val="1A0A651F"/>
    <w:rsid w:val="1A15294C"/>
    <w:rsid w:val="1A6A1423"/>
    <w:rsid w:val="1A9D321A"/>
    <w:rsid w:val="1AA40C28"/>
    <w:rsid w:val="1AC92E67"/>
    <w:rsid w:val="1AC9493F"/>
    <w:rsid w:val="1AD4039A"/>
    <w:rsid w:val="1AEF6D63"/>
    <w:rsid w:val="1AF47381"/>
    <w:rsid w:val="1AF82355"/>
    <w:rsid w:val="1AF91ACA"/>
    <w:rsid w:val="1B030E1F"/>
    <w:rsid w:val="1B063DE0"/>
    <w:rsid w:val="1C4201CD"/>
    <w:rsid w:val="1C502869"/>
    <w:rsid w:val="1C673A14"/>
    <w:rsid w:val="1C690CE3"/>
    <w:rsid w:val="1CD54071"/>
    <w:rsid w:val="1CF71090"/>
    <w:rsid w:val="1D034009"/>
    <w:rsid w:val="1D620B79"/>
    <w:rsid w:val="1D952858"/>
    <w:rsid w:val="1DCD64F3"/>
    <w:rsid w:val="1DD2208E"/>
    <w:rsid w:val="1E5C1498"/>
    <w:rsid w:val="1E69276C"/>
    <w:rsid w:val="1E7C7001"/>
    <w:rsid w:val="1E925F40"/>
    <w:rsid w:val="1EA94205"/>
    <w:rsid w:val="1EBB6D18"/>
    <w:rsid w:val="1EDD68EF"/>
    <w:rsid w:val="1F522517"/>
    <w:rsid w:val="1F6F1FC5"/>
    <w:rsid w:val="1F7557B4"/>
    <w:rsid w:val="1F836247"/>
    <w:rsid w:val="1FB0246E"/>
    <w:rsid w:val="200F5954"/>
    <w:rsid w:val="20107D05"/>
    <w:rsid w:val="202259EB"/>
    <w:rsid w:val="20483957"/>
    <w:rsid w:val="205C3D02"/>
    <w:rsid w:val="207F67A8"/>
    <w:rsid w:val="20A77E14"/>
    <w:rsid w:val="20B41111"/>
    <w:rsid w:val="20D86B64"/>
    <w:rsid w:val="20FC632F"/>
    <w:rsid w:val="213F3323"/>
    <w:rsid w:val="21504B23"/>
    <w:rsid w:val="21687A4A"/>
    <w:rsid w:val="217A7C1D"/>
    <w:rsid w:val="21D64D45"/>
    <w:rsid w:val="21EA62B0"/>
    <w:rsid w:val="21EE614F"/>
    <w:rsid w:val="22236F45"/>
    <w:rsid w:val="223F537D"/>
    <w:rsid w:val="22525D2C"/>
    <w:rsid w:val="225E520D"/>
    <w:rsid w:val="22694557"/>
    <w:rsid w:val="228C10BE"/>
    <w:rsid w:val="22A65EA1"/>
    <w:rsid w:val="22DF0749"/>
    <w:rsid w:val="22E53BE8"/>
    <w:rsid w:val="22E76D6F"/>
    <w:rsid w:val="234A7381"/>
    <w:rsid w:val="237738C7"/>
    <w:rsid w:val="239B7AEE"/>
    <w:rsid w:val="23BE2366"/>
    <w:rsid w:val="23C8283D"/>
    <w:rsid w:val="23D2451C"/>
    <w:rsid w:val="23DA6193"/>
    <w:rsid w:val="23E173B6"/>
    <w:rsid w:val="23E9646E"/>
    <w:rsid w:val="23F0578C"/>
    <w:rsid w:val="240407EA"/>
    <w:rsid w:val="242F62C8"/>
    <w:rsid w:val="244710BF"/>
    <w:rsid w:val="24563936"/>
    <w:rsid w:val="24953AC0"/>
    <w:rsid w:val="24B82586"/>
    <w:rsid w:val="24D1633E"/>
    <w:rsid w:val="24EB38C8"/>
    <w:rsid w:val="24F35872"/>
    <w:rsid w:val="25130B9D"/>
    <w:rsid w:val="252A05A1"/>
    <w:rsid w:val="253C29EE"/>
    <w:rsid w:val="253C42C6"/>
    <w:rsid w:val="256D06CF"/>
    <w:rsid w:val="25C153BE"/>
    <w:rsid w:val="25D54A1D"/>
    <w:rsid w:val="26577E4D"/>
    <w:rsid w:val="267D55EC"/>
    <w:rsid w:val="26917161"/>
    <w:rsid w:val="269B735A"/>
    <w:rsid w:val="26D918C3"/>
    <w:rsid w:val="26F27B63"/>
    <w:rsid w:val="27106710"/>
    <w:rsid w:val="271E148A"/>
    <w:rsid w:val="277C59E7"/>
    <w:rsid w:val="27A20F11"/>
    <w:rsid w:val="27A50624"/>
    <w:rsid w:val="27FF5563"/>
    <w:rsid w:val="280B1827"/>
    <w:rsid w:val="284400D2"/>
    <w:rsid w:val="284F30B5"/>
    <w:rsid w:val="287F78CF"/>
    <w:rsid w:val="28A92343"/>
    <w:rsid w:val="28B85AB5"/>
    <w:rsid w:val="28CD5AB3"/>
    <w:rsid w:val="28DC4878"/>
    <w:rsid w:val="2910170D"/>
    <w:rsid w:val="29597C9F"/>
    <w:rsid w:val="296C1098"/>
    <w:rsid w:val="299F5EA6"/>
    <w:rsid w:val="29A346A2"/>
    <w:rsid w:val="29B0259B"/>
    <w:rsid w:val="29C27B7E"/>
    <w:rsid w:val="29D84357"/>
    <w:rsid w:val="29DE7CF2"/>
    <w:rsid w:val="29F334D8"/>
    <w:rsid w:val="2A0158A9"/>
    <w:rsid w:val="2AD27BCF"/>
    <w:rsid w:val="2ADE420D"/>
    <w:rsid w:val="2ADF0F18"/>
    <w:rsid w:val="2AFE498D"/>
    <w:rsid w:val="2B037BDD"/>
    <w:rsid w:val="2B4C7FCB"/>
    <w:rsid w:val="2B6011EA"/>
    <w:rsid w:val="2B6D78F6"/>
    <w:rsid w:val="2B9331CC"/>
    <w:rsid w:val="2BEB48A4"/>
    <w:rsid w:val="2BF30F8E"/>
    <w:rsid w:val="2C2A3355"/>
    <w:rsid w:val="2C324341"/>
    <w:rsid w:val="2C6E3819"/>
    <w:rsid w:val="2C8E7A76"/>
    <w:rsid w:val="2C91679D"/>
    <w:rsid w:val="2CA32978"/>
    <w:rsid w:val="2CAD5F81"/>
    <w:rsid w:val="2D052A60"/>
    <w:rsid w:val="2D0609BD"/>
    <w:rsid w:val="2D5F6614"/>
    <w:rsid w:val="2D733F1E"/>
    <w:rsid w:val="2D857A76"/>
    <w:rsid w:val="2DAE4035"/>
    <w:rsid w:val="2DB204F8"/>
    <w:rsid w:val="2DEF4CE1"/>
    <w:rsid w:val="2E267C7D"/>
    <w:rsid w:val="2E7E1043"/>
    <w:rsid w:val="2E854D5B"/>
    <w:rsid w:val="2E8A60BC"/>
    <w:rsid w:val="2EA35C9D"/>
    <w:rsid w:val="2EA823F7"/>
    <w:rsid w:val="2EAA033C"/>
    <w:rsid w:val="2EB34D77"/>
    <w:rsid w:val="2EC03D68"/>
    <w:rsid w:val="2EE10285"/>
    <w:rsid w:val="2EF51014"/>
    <w:rsid w:val="2F113BCF"/>
    <w:rsid w:val="2F156077"/>
    <w:rsid w:val="2F1C23BA"/>
    <w:rsid w:val="2F45696C"/>
    <w:rsid w:val="2F543491"/>
    <w:rsid w:val="2F627B9C"/>
    <w:rsid w:val="2FCC311D"/>
    <w:rsid w:val="2FF77B1F"/>
    <w:rsid w:val="300067BC"/>
    <w:rsid w:val="30A40083"/>
    <w:rsid w:val="30C03F14"/>
    <w:rsid w:val="30C7396B"/>
    <w:rsid w:val="30CA5AD9"/>
    <w:rsid w:val="30E71E0D"/>
    <w:rsid w:val="31031018"/>
    <w:rsid w:val="31387F50"/>
    <w:rsid w:val="314905B1"/>
    <w:rsid w:val="314E7640"/>
    <w:rsid w:val="3164405B"/>
    <w:rsid w:val="317564D5"/>
    <w:rsid w:val="31AD18A6"/>
    <w:rsid w:val="31B06C65"/>
    <w:rsid w:val="31BB1A6F"/>
    <w:rsid w:val="31E62089"/>
    <w:rsid w:val="31F92B8C"/>
    <w:rsid w:val="32452AC3"/>
    <w:rsid w:val="3252538E"/>
    <w:rsid w:val="327A3ACA"/>
    <w:rsid w:val="32881C77"/>
    <w:rsid w:val="32983372"/>
    <w:rsid w:val="329D4BF4"/>
    <w:rsid w:val="32AC7798"/>
    <w:rsid w:val="32B8285D"/>
    <w:rsid w:val="32E54BFC"/>
    <w:rsid w:val="330B3470"/>
    <w:rsid w:val="331A035F"/>
    <w:rsid w:val="3355044B"/>
    <w:rsid w:val="33632DB1"/>
    <w:rsid w:val="33933F8B"/>
    <w:rsid w:val="33A23183"/>
    <w:rsid w:val="33BC45F3"/>
    <w:rsid w:val="33EC3889"/>
    <w:rsid w:val="340776BC"/>
    <w:rsid w:val="341B2BA8"/>
    <w:rsid w:val="341B4A0A"/>
    <w:rsid w:val="3445659E"/>
    <w:rsid w:val="34790768"/>
    <w:rsid w:val="34B015AA"/>
    <w:rsid w:val="34D50E6E"/>
    <w:rsid w:val="34ED2A60"/>
    <w:rsid w:val="34FE223A"/>
    <w:rsid w:val="350763BC"/>
    <w:rsid w:val="35184F26"/>
    <w:rsid w:val="354334AC"/>
    <w:rsid w:val="3575474F"/>
    <w:rsid w:val="357F1F61"/>
    <w:rsid w:val="35B05E5F"/>
    <w:rsid w:val="35B766AD"/>
    <w:rsid w:val="35CB1C9E"/>
    <w:rsid w:val="363028FE"/>
    <w:rsid w:val="365663E9"/>
    <w:rsid w:val="3659128B"/>
    <w:rsid w:val="36600A98"/>
    <w:rsid w:val="36627AD9"/>
    <w:rsid w:val="369F3800"/>
    <w:rsid w:val="36EB15EE"/>
    <w:rsid w:val="36F66B10"/>
    <w:rsid w:val="370119AB"/>
    <w:rsid w:val="370F3DE5"/>
    <w:rsid w:val="375F36FA"/>
    <w:rsid w:val="3804088A"/>
    <w:rsid w:val="38324282"/>
    <w:rsid w:val="383D0951"/>
    <w:rsid w:val="384E4351"/>
    <w:rsid w:val="38F50C6F"/>
    <w:rsid w:val="39813F5F"/>
    <w:rsid w:val="39952A01"/>
    <w:rsid w:val="39AF02B8"/>
    <w:rsid w:val="39B837BB"/>
    <w:rsid w:val="39DB44EE"/>
    <w:rsid w:val="3A057014"/>
    <w:rsid w:val="3A484DBA"/>
    <w:rsid w:val="3A49177D"/>
    <w:rsid w:val="3A837399"/>
    <w:rsid w:val="3AAD58AE"/>
    <w:rsid w:val="3B0F6B45"/>
    <w:rsid w:val="3B4B23AC"/>
    <w:rsid w:val="3B605A85"/>
    <w:rsid w:val="3B863A15"/>
    <w:rsid w:val="3BAC0573"/>
    <w:rsid w:val="3BAD06ED"/>
    <w:rsid w:val="3BBE41F0"/>
    <w:rsid w:val="3BBF519B"/>
    <w:rsid w:val="3BDE4577"/>
    <w:rsid w:val="3BE95A9F"/>
    <w:rsid w:val="3C5774C8"/>
    <w:rsid w:val="3CFE55A0"/>
    <w:rsid w:val="3D23037B"/>
    <w:rsid w:val="3D80469F"/>
    <w:rsid w:val="3DDA7D4E"/>
    <w:rsid w:val="3DE55BAE"/>
    <w:rsid w:val="3E0E3390"/>
    <w:rsid w:val="3E4F0EAD"/>
    <w:rsid w:val="3F8654C7"/>
    <w:rsid w:val="3FD45CB5"/>
    <w:rsid w:val="3FEB3CAF"/>
    <w:rsid w:val="40150B50"/>
    <w:rsid w:val="401929F6"/>
    <w:rsid w:val="40390DE3"/>
    <w:rsid w:val="403D5A1F"/>
    <w:rsid w:val="40652808"/>
    <w:rsid w:val="408A6F4C"/>
    <w:rsid w:val="409125D8"/>
    <w:rsid w:val="40A0677B"/>
    <w:rsid w:val="40B4290F"/>
    <w:rsid w:val="40CC3618"/>
    <w:rsid w:val="41011C1F"/>
    <w:rsid w:val="410E5D34"/>
    <w:rsid w:val="41425DCC"/>
    <w:rsid w:val="415F02BE"/>
    <w:rsid w:val="416158EF"/>
    <w:rsid w:val="417535D7"/>
    <w:rsid w:val="41754131"/>
    <w:rsid w:val="41847F66"/>
    <w:rsid w:val="41CD3717"/>
    <w:rsid w:val="41D33CAA"/>
    <w:rsid w:val="41D42337"/>
    <w:rsid w:val="41D7439D"/>
    <w:rsid w:val="41F51161"/>
    <w:rsid w:val="420D19F0"/>
    <w:rsid w:val="42113BE5"/>
    <w:rsid w:val="42637C85"/>
    <w:rsid w:val="42914E01"/>
    <w:rsid w:val="42A23857"/>
    <w:rsid w:val="42CF66F6"/>
    <w:rsid w:val="42DC55E1"/>
    <w:rsid w:val="43000C67"/>
    <w:rsid w:val="434154F1"/>
    <w:rsid w:val="434A1829"/>
    <w:rsid w:val="435C612C"/>
    <w:rsid w:val="435E4160"/>
    <w:rsid w:val="435F47C8"/>
    <w:rsid w:val="43CA2213"/>
    <w:rsid w:val="43D2036E"/>
    <w:rsid w:val="43D46BF4"/>
    <w:rsid w:val="43E76AAA"/>
    <w:rsid w:val="44024309"/>
    <w:rsid w:val="44485E34"/>
    <w:rsid w:val="4459375D"/>
    <w:rsid w:val="446E155A"/>
    <w:rsid w:val="44754693"/>
    <w:rsid w:val="44BD1F39"/>
    <w:rsid w:val="44D65D25"/>
    <w:rsid w:val="450819AB"/>
    <w:rsid w:val="450964FD"/>
    <w:rsid w:val="4531089F"/>
    <w:rsid w:val="453F23AE"/>
    <w:rsid w:val="45747A66"/>
    <w:rsid w:val="45AD2069"/>
    <w:rsid w:val="45B03207"/>
    <w:rsid w:val="45D15971"/>
    <w:rsid w:val="45EA4079"/>
    <w:rsid w:val="460F5EF3"/>
    <w:rsid w:val="46677DB1"/>
    <w:rsid w:val="467235DB"/>
    <w:rsid w:val="468F0B38"/>
    <w:rsid w:val="46A03306"/>
    <w:rsid w:val="46A8666E"/>
    <w:rsid w:val="46BF559B"/>
    <w:rsid w:val="46C5757F"/>
    <w:rsid w:val="46CA0940"/>
    <w:rsid w:val="47057BBE"/>
    <w:rsid w:val="472D4C86"/>
    <w:rsid w:val="474A4F2C"/>
    <w:rsid w:val="4796130D"/>
    <w:rsid w:val="47EB5FB5"/>
    <w:rsid w:val="47F33E4D"/>
    <w:rsid w:val="480E1217"/>
    <w:rsid w:val="48177E50"/>
    <w:rsid w:val="48282C49"/>
    <w:rsid w:val="48320562"/>
    <w:rsid w:val="483268AB"/>
    <w:rsid w:val="48341E6D"/>
    <w:rsid w:val="484561CB"/>
    <w:rsid w:val="484E4081"/>
    <w:rsid w:val="485452A8"/>
    <w:rsid w:val="48815A3B"/>
    <w:rsid w:val="48BB49B5"/>
    <w:rsid w:val="48CE78DF"/>
    <w:rsid w:val="4938160F"/>
    <w:rsid w:val="49492570"/>
    <w:rsid w:val="494B7EEA"/>
    <w:rsid w:val="4950314E"/>
    <w:rsid w:val="49706EF4"/>
    <w:rsid w:val="497E2E22"/>
    <w:rsid w:val="499346EC"/>
    <w:rsid w:val="49CD1A3D"/>
    <w:rsid w:val="49E04A20"/>
    <w:rsid w:val="4A444444"/>
    <w:rsid w:val="4A4F2302"/>
    <w:rsid w:val="4A556CFD"/>
    <w:rsid w:val="4A722943"/>
    <w:rsid w:val="4A9E26F1"/>
    <w:rsid w:val="4ACF2C50"/>
    <w:rsid w:val="4AF6008D"/>
    <w:rsid w:val="4B020032"/>
    <w:rsid w:val="4B105258"/>
    <w:rsid w:val="4B231198"/>
    <w:rsid w:val="4B4E78D7"/>
    <w:rsid w:val="4B565DD9"/>
    <w:rsid w:val="4B715ACE"/>
    <w:rsid w:val="4B8F2C0D"/>
    <w:rsid w:val="4B96797F"/>
    <w:rsid w:val="4BBC7461"/>
    <w:rsid w:val="4BCC3A42"/>
    <w:rsid w:val="4C224888"/>
    <w:rsid w:val="4C24172E"/>
    <w:rsid w:val="4C3A5E3C"/>
    <w:rsid w:val="4C5D06DF"/>
    <w:rsid w:val="4C770C71"/>
    <w:rsid w:val="4C801BF8"/>
    <w:rsid w:val="4C8D33E9"/>
    <w:rsid w:val="4C8E5A72"/>
    <w:rsid w:val="4CAB7AE9"/>
    <w:rsid w:val="4CD44F51"/>
    <w:rsid w:val="4DA05BCA"/>
    <w:rsid w:val="4DC57225"/>
    <w:rsid w:val="4E235D13"/>
    <w:rsid w:val="4E2A5216"/>
    <w:rsid w:val="4E3C6492"/>
    <w:rsid w:val="4ED91F6F"/>
    <w:rsid w:val="4F4734BC"/>
    <w:rsid w:val="4F6A51CC"/>
    <w:rsid w:val="4F892F0A"/>
    <w:rsid w:val="4F99038B"/>
    <w:rsid w:val="4FDE7055"/>
    <w:rsid w:val="4FF25A16"/>
    <w:rsid w:val="4FF705E7"/>
    <w:rsid w:val="50390E01"/>
    <w:rsid w:val="50450714"/>
    <w:rsid w:val="50523AA9"/>
    <w:rsid w:val="506378E7"/>
    <w:rsid w:val="50695075"/>
    <w:rsid w:val="50A8568B"/>
    <w:rsid w:val="50AB15A4"/>
    <w:rsid w:val="50C2383E"/>
    <w:rsid w:val="50CD383A"/>
    <w:rsid w:val="50E668B0"/>
    <w:rsid w:val="51110737"/>
    <w:rsid w:val="51254491"/>
    <w:rsid w:val="514839AE"/>
    <w:rsid w:val="514858DF"/>
    <w:rsid w:val="514A532C"/>
    <w:rsid w:val="5159000B"/>
    <w:rsid w:val="517259E1"/>
    <w:rsid w:val="51B67411"/>
    <w:rsid w:val="51EE20BF"/>
    <w:rsid w:val="520D3F9A"/>
    <w:rsid w:val="522B296E"/>
    <w:rsid w:val="52326B71"/>
    <w:rsid w:val="52681686"/>
    <w:rsid w:val="52891801"/>
    <w:rsid w:val="52C83015"/>
    <w:rsid w:val="52D27346"/>
    <w:rsid w:val="53115318"/>
    <w:rsid w:val="5316312F"/>
    <w:rsid w:val="532601E5"/>
    <w:rsid w:val="53557F7A"/>
    <w:rsid w:val="53AC6AAE"/>
    <w:rsid w:val="54AE07DB"/>
    <w:rsid w:val="54DA4D7F"/>
    <w:rsid w:val="54F411D6"/>
    <w:rsid w:val="54FD599E"/>
    <w:rsid w:val="55797AFB"/>
    <w:rsid w:val="55A4554D"/>
    <w:rsid w:val="55BB2735"/>
    <w:rsid w:val="55CB2E82"/>
    <w:rsid w:val="55D507E7"/>
    <w:rsid w:val="55FB5DC0"/>
    <w:rsid w:val="56153996"/>
    <w:rsid w:val="56346402"/>
    <w:rsid w:val="567A0A21"/>
    <w:rsid w:val="56967655"/>
    <w:rsid w:val="56C46852"/>
    <w:rsid w:val="56FC27EC"/>
    <w:rsid w:val="5703516C"/>
    <w:rsid w:val="570D396E"/>
    <w:rsid w:val="57143888"/>
    <w:rsid w:val="571B53CA"/>
    <w:rsid w:val="57350805"/>
    <w:rsid w:val="574605D0"/>
    <w:rsid w:val="57994077"/>
    <w:rsid w:val="5878248E"/>
    <w:rsid w:val="587C32E0"/>
    <w:rsid w:val="58A1260E"/>
    <w:rsid w:val="58E122E4"/>
    <w:rsid w:val="58F91FFB"/>
    <w:rsid w:val="59090B11"/>
    <w:rsid w:val="5909262E"/>
    <w:rsid w:val="59242EFE"/>
    <w:rsid w:val="59376CA0"/>
    <w:rsid w:val="595B1BC6"/>
    <w:rsid w:val="596E555F"/>
    <w:rsid w:val="59901DD7"/>
    <w:rsid w:val="59A22898"/>
    <w:rsid w:val="59A9411B"/>
    <w:rsid w:val="59AF1D3F"/>
    <w:rsid w:val="59D3744D"/>
    <w:rsid w:val="59DA29BC"/>
    <w:rsid w:val="5A29602F"/>
    <w:rsid w:val="5A297EE4"/>
    <w:rsid w:val="5A3B5EFE"/>
    <w:rsid w:val="5A6104FA"/>
    <w:rsid w:val="5A6B59DF"/>
    <w:rsid w:val="5A8E67A6"/>
    <w:rsid w:val="5AAB2942"/>
    <w:rsid w:val="5B206971"/>
    <w:rsid w:val="5B231744"/>
    <w:rsid w:val="5B57221B"/>
    <w:rsid w:val="5B6C1114"/>
    <w:rsid w:val="5BA179AB"/>
    <w:rsid w:val="5BE356B9"/>
    <w:rsid w:val="5BEE1C8F"/>
    <w:rsid w:val="5C1B3EDA"/>
    <w:rsid w:val="5C1E5BBB"/>
    <w:rsid w:val="5C264567"/>
    <w:rsid w:val="5C3E6840"/>
    <w:rsid w:val="5C50512E"/>
    <w:rsid w:val="5C545A5E"/>
    <w:rsid w:val="5C7B745E"/>
    <w:rsid w:val="5C7D54CA"/>
    <w:rsid w:val="5CAC15C7"/>
    <w:rsid w:val="5CDA7D02"/>
    <w:rsid w:val="5CF26ACA"/>
    <w:rsid w:val="5DAB460D"/>
    <w:rsid w:val="5DBD5EEE"/>
    <w:rsid w:val="5DDC165C"/>
    <w:rsid w:val="5E6A743F"/>
    <w:rsid w:val="5E6C3433"/>
    <w:rsid w:val="5E99621D"/>
    <w:rsid w:val="5E9F75E4"/>
    <w:rsid w:val="5F1928F4"/>
    <w:rsid w:val="5F2139F7"/>
    <w:rsid w:val="5F3D5822"/>
    <w:rsid w:val="5F60054C"/>
    <w:rsid w:val="5F815582"/>
    <w:rsid w:val="5F8B1BF5"/>
    <w:rsid w:val="5F9E0193"/>
    <w:rsid w:val="5FAA0624"/>
    <w:rsid w:val="5FC47000"/>
    <w:rsid w:val="5FD302EC"/>
    <w:rsid w:val="602A1DBF"/>
    <w:rsid w:val="60480894"/>
    <w:rsid w:val="605B5F0B"/>
    <w:rsid w:val="605F0DDF"/>
    <w:rsid w:val="60641214"/>
    <w:rsid w:val="60B47C19"/>
    <w:rsid w:val="60DB37CB"/>
    <w:rsid w:val="60FB005F"/>
    <w:rsid w:val="60FC618F"/>
    <w:rsid w:val="61083B51"/>
    <w:rsid w:val="61BF0CE8"/>
    <w:rsid w:val="61CA0A66"/>
    <w:rsid w:val="61EC722D"/>
    <w:rsid w:val="62603E80"/>
    <w:rsid w:val="629A6005"/>
    <w:rsid w:val="62EE2347"/>
    <w:rsid w:val="630D384D"/>
    <w:rsid w:val="63915038"/>
    <w:rsid w:val="639364AB"/>
    <w:rsid w:val="63F75CEC"/>
    <w:rsid w:val="643344C4"/>
    <w:rsid w:val="64407B25"/>
    <w:rsid w:val="64580194"/>
    <w:rsid w:val="649D667C"/>
    <w:rsid w:val="64ED4CC5"/>
    <w:rsid w:val="64F9508D"/>
    <w:rsid w:val="651410E1"/>
    <w:rsid w:val="656D2B34"/>
    <w:rsid w:val="6587228F"/>
    <w:rsid w:val="659868F2"/>
    <w:rsid w:val="65BA2E6A"/>
    <w:rsid w:val="65D84E98"/>
    <w:rsid w:val="65F35EE5"/>
    <w:rsid w:val="663D4739"/>
    <w:rsid w:val="664C0733"/>
    <w:rsid w:val="66600464"/>
    <w:rsid w:val="666C0FA2"/>
    <w:rsid w:val="667776BE"/>
    <w:rsid w:val="66797C19"/>
    <w:rsid w:val="669007C2"/>
    <w:rsid w:val="66B455A1"/>
    <w:rsid w:val="67362E89"/>
    <w:rsid w:val="675E7426"/>
    <w:rsid w:val="67AF08C3"/>
    <w:rsid w:val="67C623F1"/>
    <w:rsid w:val="67D3765C"/>
    <w:rsid w:val="68092992"/>
    <w:rsid w:val="685851B5"/>
    <w:rsid w:val="68636C3D"/>
    <w:rsid w:val="686E63C8"/>
    <w:rsid w:val="68995157"/>
    <w:rsid w:val="68A23E96"/>
    <w:rsid w:val="6981131B"/>
    <w:rsid w:val="69F606C9"/>
    <w:rsid w:val="69FD5E4C"/>
    <w:rsid w:val="6A03508D"/>
    <w:rsid w:val="6A2F73D0"/>
    <w:rsid w:val="6A44224A"/>
    <w:rsid w:val="6A466276"/>
    <w:rsid w:val="6A634355"/>
    <w:rsid w:val="6A7D66C3"/>
    <w:rsid w:val="6A82686A"/>
    <w:rsid w:val="6AA855AE"/>
    <w:rsid w:val="6AF4320F"/>
    <w:rsid w:val="6AFA4890"/>
    <w:rsid w:val="6B29700E"/>
    <w:rsid w:val="6B974051"/>
    <w:rsid w:val="6BB0397F"/>
    <w:rsid w:val="6C130408"/>
    <w:rsid w:val="6C44749B"/>
    <w:rsid w:val="6C581012"/>
    <w:rsid w:val="6C7C6686"/>
    <w:rsid w:val="6C817627"/>
    <w:rsid w:val="6C867C9E"/>
    <w:rsid w:val="6C926C8B"/>
    <w:rsid w:val="6CA54C03"/>
    <w:rsid w:val="6D0563A8"/>
    <w:rsid w:val="6DAD6E7D"/>
    <w:rsid w:val="6DCF00DA"/>
    <w:rsid w:val="6DD57CFE"/>
    <w:rsid w:val="6DEF6D97"/>
    <w:rsid w:val="6E413243"/>
    <w:rsid w:val="6E487930"/>
    <w:rsid w:val="6E4B5B89"/>
    <w:rsid w:val="6E5B3DF9"/>
    <w:rsid w:val="6EA866F3"/>
    <w:rsid w:val="6EAD1FB2"/>
    <w:rsid w:val="6EB71ACB"/>
    <w:rsid w:val="6F2F3F6A"/>
    <w:rsid w:val="6FF447C9"/>
    <w:rsid w:val="700769E1"/>
    <w:rsid w:val="7037518C"/>
    <w:rsid w:val="7038228D"/>
    <w:rsid w:val="70663949"/>
    <w:rsid w:val="708B22CD"/>
    <w:rsid w:val="70B51282"/>
    <w:rsid w:val="70C3316C"/>
    <w:rsid w:val="70CE2D47"/>
    <w:rsid w:val="711B783F"/>
    <w:rsid w:val="7144586C"/>
    <w:rsid w:val="714B4512"/>
    <w:rsid w:val="716B0190"/>
    <w:rsid w:val="716E0D10"/>
    <w:rsid w:val="717A4E92"/>
    <w:rsid w:val="71A43CDE"/>
    <w:rsid w:val="71CF77E0"/>
    <w:rsid w:val="7205178E"/>
    <w:rsid w:val="721252CE"/>
    <w:rsid w:val="723158EC"/>
    <w:rsid w:val="72347109"/>
    <w:rsid w:val="72525E2F"/>
    <w:rsid w:val="726317CD"/>
    <w:rsid w:val="726F63C3"/>
    <w:rsid w:val="73113D3F"/>
    <w:rsid w:val="7312224B"/>
    <w:rsid w:val="732B09A2"/>
    <w:rsid w:val="734836B9"/>
    <w:rsid w:val="735274EC"/>
    <w:rsid w:val="73681057"/>
    <w:rsid w:val="73CC2FAE"/>
    <w:rsid w:val="744C2DBF"/>
    <w:rsid w:val="746133C7"/>
    <w:rsid w:val="74AD0828"/>
    <w:rsid w:val="74F6138A"/>
    <w:rsid w:val="751614DA"/>
    <w:rsid w:val="7528057D"/>
    <w:rsid w:val="753D488C"/>
    <w:rsid w:val="75566A68"/>
    <w:rsid w:val="7567453D"/>
    <w:rsid w:val="7592467B"/>
    <w:rsid w:val="75A51DB7"/>
    <w:rsid w:val="75C4636F"/>
    <w:rsid w:val="762D186C"/>
    <w:rsid w:val="76645C34"/>
    <w:rsid w:val="76BE5769"/>
    <w:rsid w:val="76DA190B"/>
    <w:rsid w:val="76EB2756"/>
    <w:rsid w:val="77053F15"/>
    <w:rsid w:val="77285E18"/>
    <w:rsid w:val="77323E90"/>
    <w:rsid w:val="776B2678"/>
    <w:rsid w:val="776D1EF1"/>
    <w:rsid w:val="776D34F6"/>
    <w:rsid w:val="77AA1BEA"/>
    <w:rsid w:val="77ED49F1"/>
    <w:rsid w:val="7826552A"/>
    <w:rsid w:val="782666F0"/>
    <w:rsid w:val="782B66FE"/>
    <w:rsid w:val="784F73B3"/>
    <w:rsid w:val="78B52CD2"/>
    <w:rsid w:val="78DE3C58"/>
    <w:rsid w:val="78E4077C"/>
    <w:rsid w:val="790101FC"/>
    <w:rsid w:val="794C0C42"/>
    <w:rsid w:val="79607AF0"/>
    <w:rsid w:val="79AB56C2"/>
    <w:rsid w:val="79B53C1E"/>
    <w:rsid w:val="79FC1A60"/>
    <w:rsid w:val="79FF07AC"/>
    <w:rsid w:val="7A563A23"/>
    <w:rsid w:val="7A6270C6"/>
    <w:rsid w:val="7A67535F"/>
    <w:rsid w:val="7A7311BC"/>
    <w:rsid w:val="7AAC1646"/>
    <w:rsid w:val="7B0C5DF8"/>
    <w:rsid w:val="7B442BD9"/>
    <w:rsid w:val="7B76577D"/>
    <w:rsid w:val="7BA469FB"/>
    <w:rsid w:val="7BC92A6D"/>
    <w:rsid w:val="7BD93E50"/>
    <w:rsid w:val="7BEC77DC"/>
    <w:rsid w:val="7C0F28BE"/>
    <w:rsid w:val="7CDE6521"/>
    <w:rsid w:val="7CE23F8F"/>
    <w:rsid w:val="7D050C1F"/>
    <w:rsid w:val="7D184058"/>
    <w:rsid w:val="7D742AE9"/>
    <w:rsid w:val="7D7B3F5A"/>
    <w:rsid w:val="7D955776"/>
    <w:rsid w:val="7DA668D8"/>
    <w:rsid w:val="7DBD56B1"/>
    <w:rsid w:val="7DC03581"/>
    <w:rsid w:val="7DE85833"/>
    <w:rsid w:val="7E06526A"/>
    <w:rsid w:val="7E2C1D93"/>
    <w:rsid w:val="7E656B10"/>
    <w:rsid w:val="7E68528B"/>
    <w:rsid w:val="7E8659E7"/>
    <w:rsid w:val="7E8C24FB"/>
    <w:rsid w:val="7F036335"/>
    <w:rsid w:val="7F066578"/>
    <w:rsid w:val="7F1832A8"/>
    <w:rsid w:val="7F87007F"/>
    <w:rsid w:val="7F8D73CB"/>
    <w:rsid w:val="7FA609B7"/>
    <w:rsid w:val="7FB80F1B"/>
    <w:rsid w:val="7FB86302"/>
    <w:rsid w:val="7FCD0563"/>
    <w:rsid w:val="7FDD6675"/>
    <w:rsid w:val="7FDF034F"/>
    <w:rsid w:val="9BE62F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3</dc:creator>
  <cp:lastModifiedBy>greatwall</cp:lastModifiedBy>
  <cp:lastPrinted>2020-10-23T11:48:00Z</cp:lastPrinted>
  <dcterms:modified xsi:type="dcterms:W3CDTF">2025-12-18T16:34:09Z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