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b w:val="0"/>
          <w:bCs w:val="0"/>
          <w:color w:val="000000"/>
          <w:spacing w:val="-23"/>
          <w:kern w:val="0"/>
          <w:sz w:val="32"/>
          <w:szCs w:val="32"/>
          <w:lang w:val="en-US" w:eastAsia="zh-CN"/>
        </w:rPr>
      </w:pPr>
      <w:r>
        <w:rPr>
          <w:rFonts w:hint="eastAsia" w:ascii="黑体" w:hAnsi="黑体" w:eastAsia="黑体" w:cs="黑体"/>
          <w:b w:val="0"/>
          <w:bCs w:val="0"/>
          <w:color w:val="000000"/>
          <w:spacing w:val="-23"/>
          <w:kern w:val="0"/>
          <w:sz w:val="32"/>
          <w:szCs w:val="32"/>
          <w:lang w:eastAsia="zh-CN"/>
        </w:rPr>
        <w:t>附件</w:t>
      </w:r>
      <w:r>
        <w:rPr>
          <w:rFonts w:hint="eastAsia" w:ascii="黑体" w:hAnsi="黑体" w:eastAsia="黑体" w:cs="黑体"/>
          <w:b w:val="0"/>
          <w:bCs w:val="0"/>
          <w:color w:val="000000"/>
          <w:spacing w:val="-23"/>
          <w:kern w:val="0"/>
          <w:sz w:val="32"/>
          <w:szCs w:val="32"/>
          <w:lang w:val="en-US" w:eastAsia="zh-CN"/>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 w:eastAsia="仿宋_GB2312"/>
          <w:bCs/>
          <w:sz w:val="32"/>
          <w:szCs w:val="32"/>
          <w:lang w:val="en-US" w:eastAsia="zh-CN"/>
        </w:rPr>
      </w:pPr>
      <w:bookmarkStart w:id="0" w:name="_GoBack"/>
      <w:r>
        <w:rPr>
          <w:rFonts w:hint="eastAsia" w:ascii="方正小标宋_GBK" w:hAnsi="方正小标宋_GBK" w:eastAsia="方正小标宋_GBK" w:cs="方正小标宋_GBK"/>
          <w:color w:val="000000"/>
          <w:spacing w:val="-23"/>
          <w:kern w:val="0"/>
          <w:sz w:val="44"/>
          <w:szCs w:val="44"/>
          <w:lang w:eastAsia="zh-CN"/>
        </w:rPr>
        <w:t>黄石市</w:t>
      </w:r>
      <w:r>
        <w:rPr>
          <w:rFonts w:hint="eastAsia" w:ascii="方正小标宋_GBK" w:hAnsi="方正小标宋_GBK" w:eastAsia="方正小标宋_GBK" w:cs="方正小标宋_GBK"/>
          <w:color w:val="000000"/>
          <w:spacing w:val="-23"/>
          <w:kern w:val="0"/>
          <w:sz w:val="44"/>
          <w:szCs w:val="44"/>
          <w:lang w:val="en-US" w:eastAsia="zh-CN"/>
        </w:rPr>
        <w:t>2023年度</w:t>
      </w:r>
      <w:r>
        <w:rPr>
          <w:rFonts w:hint="eastAsia" w:ascii="方正小标宋_GBK" w:hAnsi="方正小标宋_GBK" w:eastAsia="方正小标宋_GBK" w:cs="方正小标宋_GBK"/>
          <w:color w:val="000000"/>
          <w:spacing w:val="-23"/>
          <w:kern w:val="0"/>
          <w:sz w:val="44"/>
          <w:szCs w:val="44"/>
          <w:lang w:eastAsia="zh-CN"/>
        </w:rPr>
        <w:t>市场监管领域跨部门联合“双随机、一公开”监管</w:t>
      </w:r>
      <w:r>
        <w:rPr>
          <w:rFonts w:hint="eastAsia" w:ascii="方正小标宋_GBK" w:hAnsi="方正小标宋_GBK" w:eastAsia="方正小标宋_GBK" w:cs="方正小标宋_GBK"/>
          <w:color w:val="000000"/>
          <w:spacing w:val="-23"/>
          <w:kern w:val="0"/>
          <w:sz w:val="44"/>
          <w:szCs w:val="44"/>
        </w:rPr>
        <w:t>工作</w:t>
      </w:r>
      <w:r>
        <w:rPr>
          <w:rFonts w:hint="eastAsia" w:ascii="方正小标宋_GBK" w:hAnsi="方正小标宋_GBK" w:eastAsia="方正小标宋_GBK" w:cs="方正小标宋_GBK"/>
          <w:color w:val="000000"/>
          <w:spacing w:val="-23"/>
          <w:kern w:val="0"/>
          <w:sz w:val="44"/>
          <w:szCs w:val="44"/>
          <w:lang w:eastAsia="zh-CN"/>
        </w:rPr>
        <w:t>抽查</w:t>
      </w:r>
      <w:r>
        <w:rPr>
          <w:rFonts w:hint="eastAsia" w:ascii="方正小标宋_GBK" w:hAnsi="方正小标宋_GBK" w:eastAsia="方正小标宋_GBK" w:cs="方正小标宋_GBK"/>
          <w:color w:val="000000"/>
          <w:spacing w:val="-23"/>
          <w:kern w:val="0"/>
          <w:sz w:val="44"/>
          <w:szCs w:val="44"/>
        </w:rPr>
        <w:t>计划</w:t>
      </w:r>
      <w:r>
        <w:rPr>
          <w:rFonts w:hint="eastAsia" w:ascii="仿宋_GB2312" w:hAnsi="仿宋" w:eastAsia="仿宋_GB2312"/>
          <w:bCs/>
          <w:sz w:val="32"/>
          <w:szCs w:val="32"/>
          <w:lang w:val="en-US" w:eastAsia="zh-CN"/>
        </w:rPr>
        <w:t xml:space="preserve"> </w:t>
      </w:r>
      <w:bookmarkEnd w:id="0"/>
      <w:r>
        <w:rPr>
          <w:rFonts w:hint="eastAsia" w:ascii="仿宋_GB2312" w:hAnsi="仿宋" w:eastAsia="仿宋_GB2312"/>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rPr>
      </w:pPr>
      <w:r>
        <w:rPr>
          <w:rFonts w:hint="eastAsia" w:ascii="仿宋_GB2312" w:hAnsi="仿宋" w:eastAsia="仿宋_GB2312"/>
          <w:bCs/>
          <w:sz w:val="32"/>
          <w:szCs w:val="32"/>
          <w:lang w:val="en-US" w:eastAsia="zh-CN"/>
        </w:rPr>
        <w:t xml:space="preserve">               </w:t>
      </w:r>
    </w:p>
    <w:tbl>
      <w:tblPr>
        <w:tblStyle w:val="7"/>
        <w:tblW w:w="14548" w:type="dxa"/>
        <w:tblInd w:w="-382" w:type="dxa"/>
        <w:tblLayout w:type="fixed"/>
        <w:tblCellMar>
          <w:top w:w="0" w:type="dxa"/>
          <w:left w:w="108" w:type="dxa"/>
          <w:bottom w:w="0" w:type="dxa"/>
          <w:right w:w="108" w:type="dxa"/>
        </w:tblCellMar>
      </w:tblPr>
      <w:tblGrid>
        <w:gridCol w:w="668"/>
        <w:gridCol w:w="1753"/>
        <w:gridCol w:w="2539"/>
        <w:gridCol w:w="2054"/>
        <w:gridCol w:w="1292"/>
        <w:gridCol w:w="1592"/>
        <w:gridCol w:w="1327"/>
        <w:gridCol w:w="1235"/>
        <w:gridCol w:w="2088"/>
      </w:tblGrid>
      <w:tr>
        <w:tblPrEx>
          <w:tblCellMar>
            <w:top w:w="0" w:type="dxa"/>
            <w:left w:w="108" w:type="dxa"/>
            <w:bottom w:w="0" w:type="dxa"/>
            <w:right w:w="108" w:type="dxa"/>
          </w:tblCellMar>
        </w:tblPrEx>
        <w:trPr>
          <w:trHeight w:val="1025" w:hRule="atLeast"/>
        </w:trPr>
        <w:tc>
          <w:tcPr>
            <w:tcW w:w="6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eastAsia="zh-CN"/>
              </w:rPr>
              <w:t>序号</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eastAsia="zh-CN"/>
              </w:rPr>
              <w:t>抽查领域</w:t>
            </w:r>
          </w:p>
        </w:tc>
        <w:tc>
          <w:tcPr>
            <w:tcW w:w="25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eastAsia="zh-CN"/>
              </w:rPr>
              <w:t>抽查事项</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000000"/>
                <w:kern w:val="0"/>
                <w:sz w:val="24"/>
                <w:szCs w:val="24"/>
                <w:lang w:val="en-US" w:eastAsia="zh-CN"/>
              </w:rPr>
            </w:pPr>
            <w:r>
              <w:rPr>
                <w:rFonts w:hint="eastAsia" w:ascii="仿宋_GB2312" w:hAnsi="宋体" w:eastAsia="仿宋_GB2312" w:cs="宋体"/>
                <w:b/>
                <w:bCs/>
                <w:color w:val="000000"/>
                <w:kern w:val="0"/>
                <w:sz w:val="24"/>
                <w:szCs w:val="24"/>
                <w:lang w:eastAsia="zh-CN"/>
              </w:rPr>
              <w:t>检查对象</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b/>
                <w:bCs/>
                <w:color w:val="000000"/>
                <w:kern w:val="0"/>
                <w:sz w:val="24"/>
                <w:szCs w:val="24"/>
                <w:lang w:eastAsia="zh-CN"/>
              </w:rPr>
              <w:t>发起部门</w:t>
            </w:r>
          </w:p>
        </w:tc>
        <w:tc>
          <w:tcPr>
            <w:tcW w:w="15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b/>
                <w:bCs/>
                <w:color w:val="000000"/>
                <w:kern w:val="0"/>
                <w:sz w:val="24"/>
                <w:szCs w:val="24"/>
                <w:lang w:eastAsia="zh-CN"/>
              </w:rPr>
              <w:t>配合部门</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lang w:eastAsia="zh-CN"/>
              </w:rPr>
              <w:t>抽查比例</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b/>
                <w:bCs/>
                <w:color w:val="000000"/>
                <w:kern w:val="0"/>
                <w:sz w:val="24"/>
                <w:szCs w:val="24"/>
                <w:lang w:eastAsia="zh-CN"/>
              </w:rPr>
              <w:t>抽查频次</w:t>
            </w:r>
          </w:p>
        </w:tc>
        <w:tc>
          <w:tcPr>
            <w:tcW w:w="20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b/>
                <w:bCs/>
                <w:color w:val="000000"/>
                <w:kern w:val="0"/>
                <w:sz w:val="24"/>
                <w:szCs w:val="24"/>
                <w:lang w:eastAsia="zh-CN"/>
              </w:rPr>
              <w:t>计划任务实施时段</w:t>
            </w:r>
          </w:p>
        </w:tc>
      </w:tr>
      <w:tr>
        <w:tblPrEx>
          <w:tblCellMar>
            <w:top w:w="0" w:type="dxa"/>
            <w:left w:w="108" w:type="dxa"/>
            <w:bottom w:w="0" w:type="dxa"/>
            <w:right w:w="108" w:type="dxa"/>
          </w:tblCellMar>
        </w:tblPrEx>
        <w:trPr>
          <w:trHeight w:val="656" w:hRule="atLeast"/>
        </w:trPr>
        <w:tc>
          <w:tcPr>
            <w:tcW w:w="668"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w:t>
            </w:r>
          </w:p>
        </w:tc>
        <w:tc>
          <w:tcPr>
            <w:tcW w:w="175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sz w:val="21"/>
              </w:rPr>
            </w:pPr>
            <w:r>
              <w:rPr>
                <w:rFonts w:hint="eastAsia" w:ascii="方正仿宋_GBK" w:hAnsi="方正仿宋_GBK" w:eastAsia="方正仿宋_GBK"/>
                <w:color w:val="000000"/>
                <w:kern w:val="0"/>
                <w:lang w:eastAsia="zh-CN"/>
              </w:rPr>
              <w:t>保障性安居工程领域</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方正仿宋_GBK" w:hAnsi="方正仿宋_GBK" w:eastAsia="方正仿宋_GBK" w:cstheme="minorBidi"/>
                <w:color w:val="000000"/>
                <w:kern w:val="0"/>
                <w:sz w:val="21"/>
                <w:szCs w:val="24"/>
                <w:lang w:val="en-US" w:eastAsia="zh-CN" w:bidi="ar-SA"/>
              </w:rPr>
            </w:pPr>
            <w:r>
              <w:rPr>
                <w:rFonts w:hint="eastAsia" w:ascii="方正仿宋_GBK" w:hAnsi="方正仿宋_GBK" w:eastAsia="方正仿宋_GBK"/>
                <w:color w:val="000000"/>
                <w:kern w:val="0"/>
                <w:lang w:eastAsia="zh-CN"/>
              </w:rPr>
              <w:t>对中央预算内投资计划执行情况的监督检查</w:t>
            </w:r>
          </w:p>
        </w:tc>
        <w:tc>
          <w:tcPr>
            <w:tcW w:w="2054"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方正仿宋_GBK" w:hAnsi="方正仿宋_GBK" w:eastAsia="方正仿宋_GBK"/>
                <w:color w:val="000000"/>
                <w:kern w:val="0"/>
                <w:lang w:eastAsia="zh-CN"/>
              </w:rPr>
              <w:t>获得中央预算内资金支持的项目单位</w:t>
            </w:r>
          </w:p>
        </w:tc>
        <w:tc>
          <w:tcPr>
            <w:tcW w:w="1292"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方正仿宋_GBK" w:hAnsi="方正仿宋_GBK" w:eastAsia="方正仿宋_GBK"/>
                <w:color w:val="000000"/>
                <w:kern w:val="0"/>
                <w:lang w:eastAsia="zh-CN"/>
              </w:rPr>
              <w:t>发改部门</w:t>
            </w:r>
          </w:p>
        </w:tc>
        <w:tc>
          <w:tcPr>
            <w:tcW w:w="1592"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方正仿宋_GBK" w:hAnsi="方正仿宋_GBK" w:eastAsia="方正仿宋_GBK"/>
                <w:color w:val="000000"/>
                <w:kern w:val="0"/>
                <w:lang w:val="en-US" w:eastAsia="zh-CN"/>
              </w:rPr>
              <w:t>住建部门</w:t>
            </w:r>
          </w:p>
        </w:tc>
        <w:tc>
          <w:tcPr>
            <w:tcW w:w="1327"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宋体" w:eastAsia="仿宋_GB2312" w:cs="宋体"/>
                <w:color w:val="000000"/>
                <w:kern w:val="0"/>
                <w:sz w:val="24"/>
                <w:szCs w:val="24"/>
                <w:lang w:val="en-US" w:eastAsia="zh-CN" w:bidi="ar-SA"/>
              </w:rPr>
            </w:pPr>
            <w:r>
              <w:rPr>
                <w:rFonts w:hint="eastAsia" w:ascii="方正仿宋_GBK" w:hAnsi="方正仿宋_GBK" w:eastAsia="方正仿宋_GBK"/>
                <w:color w:val="000000"/>
                <w:kern w:val="0"/>
                <w:lang w:val="en-US" w:eastAsia="zh-CN"/>
              </w:rPr>
              <w:t>30%</w:t>
            </w:r>
          </w:p>
        </w:tc>
        <w:tc>
          <w:tcPr>
            <w:tcW w:w="1235"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方正仿宋_GBK" w:hAnsi="方正仿宋_GBK" w:eastAsia="方正仿宋_GBK"/>
                <w:color w:val="000000"/>
                <w:kern w:val="0"/>
                <w:lang w:val="en-US" w:eastAsia="zh-CN"/>
              </w:rPr>
              <w:t>1次</w:t>
            </w:r>
          </w:p>
        </w:tc>
        <w:tc>
          <w:tcPr>
            <w:tcW w:w="2088"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宋体" w:eastAsia="仿宋_GB2312" w:cs="宋体"/>
                <w:color w:val="000000"/>
                <w:kern w:val="0"/>
                <w:sz w:val="24"/>
                <w:szCs w:val="24"/>
                <w:lang w:val="en-US" w:eastAsia="zh-CN" w:bidi="ar-SA"/>
              </w:rPr>
            </w:pPr>
            <w:r>
              <w:rPr>
                <w:rFonts w:hint="eastAsia" w:ascii="方正仿宋_GBK" w:hAnsi="方正仿宋_GBK" w:eastAsia="方正仿宋_GBK"/>
                <w:color w:val="000000"/>
                <w:kern w:val="0"/>
                <w:lang w:val="en-US" w:eastAsia="zh-CN"/>
              </w:rPr>
              <w:t>下半年</w:t>
            </w:r>
          </w:p>
        </w:tc>
      </w:tr>
      <w:tr>
        <w:tblPrEx>
          <w:tblCellMar>
            <w:top w:w="0" w:type="dxa"/>
            <w:left w:w="108" w:type="dxa"/>
            <w:bottom w:w="0" w:type="dxa"/>
            <w:right w:w="108" w:type="dxa"/>
          </w:tblCellMar>
        </w:tblPrEx>
        <w:trPr>
          <w:trHeight w:val="685"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宋体" w:eastAsia="仿宋_GB2312" w:cs="宋体"/>
                <w:color w:val="000000"/>
                <w:kern w:val="0"/>
                <w:sz w:val="24"/>
                <w:szCs w:val="24"/>
                <w:lang w:val="en-US" w:eastAsia="zh-CN"/>
              </w:rPr>
            </w:pPr>
            <w:r>
              <w:rPr>
                <w:rFonts w:hint="eastAsia" w:ascii="方正仿宋_GBK" w:hAnsi="方正仿宋_GBK" w:eastAsia="方正仿宋_GBK"/>
                <w:color w:val="000000"/>
                <w:kern w:val="0"/>
                <w:lang w:val="en-US" w:eastAsia="zh-CN"/>
              </w:rPr>
              <w:t>社会民生领域</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4"/>
                <w:szCs w:val="24"/>
                <w:lang w:val="en-US" w:eastAsia="zh-CN"/>
              </w:rPr>
            </w:pPr>
            <w:r>
              <w:rPr>
                <w:rFonts w:hint="eastAsia" w:ascii="方正仿宋_GBK" w:hAnsi="方正仿宋_GBK" w:eastAsia="方正仿宋_GBK"/>
                <w:color w:val="000000"/>
                <w:kern w:val="0"/>
                <w:lang w:eastAsia="zh-CN"/>
              </w:rPr>
              <w:t>对中央预算内投资计划执行情况的监督检查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4"/>
                <w:szCs w:val="24"/>
                <w:lang w:val="en-US" w:eastAsia="zh-CN"/>
              </w:rPr>
            </w:pPr>
            <w:r>
              <w:rPr>
                <w:rFonts w:hint="eastAsia" w:ascii="方正仿宋_GBK" w:hAnsi="方正仿宋_GBK" w:eastAsia="方正仿宋_GBK"/>
                <w:color w:val="000000"/>
                <w:kern w:val="0"/>
                <w:lang w:eastAsia="zh-CN"/>
              </w:rPr>
              <w:t>获得中央预算内资金支持的项目单位</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4"/>
                <w:szCs w:val="24"/>
                <w:lang w:val="en-US" w:eastAsia="zh-CN"/>
              </w:rPr>
            </w:pPr>
            <w:r>
              <w:rPr>
                <w:rFonts w:hint="eastAsia" w:ascii="方正仿宋_GBK" w:hAnsi="方正仿宋_GBK" w:eastAsia="方正仿宋_GBK"/>
                <w:color w:val="000000"/>
                <w:kern w:val="0"/>
                <w:lang w:eastAsia="zh-CN"/>
              </w:rPr>
              <w:t>发改部门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4"/>
                <w:szCs w:val="24"/>
                <w:lang w:val="en-US" w:eastAsia="zh-CN"/>
              </w:rPr>
            </w:pPr>
            <w:r>
              <w:rPr>
                <w:rFonts w:hint="eastAsia" w:ascii="方正仿宋_GBK" w:hAnsi="方正仿宋_GBK" w:eastAsia="方正仿宋_GBK"/>
                <w:color w:val="000000"/>
                <w:kern w:val="0"/>
                <w:lang w:val="en-US" w:eastAsia="zh-CN"/>
              </w:rPr>
              <w:t>卫健部门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宋体" w:eastAsia="仿宋_GB2312" w:cs="宋体"/>
                <w:color w:val="000000"/>
                <w:kern w:val="0"/>
                <w:sz w:val="24"/>
                <w:szCs w:val="24"/>
                <w:lang w:val="en-US" w:eastAsia="zh-CN"/>
              </w:rPr>
            </w:pPr>
            <w:r>
              <w:rPr>
                <w:rFonts w:hint="eastAsia" w:ascii="方正仿宋_GBK" w:hAnsi="方正仿宋_GBK" w:eastAsia="方正仿宋_GBK"/>
                <w:color w:val="000000"/>
                <w:kern w:val="0"/>
                <w:lang w:val="en-US" w:eastAsia="zh-CN"/>
              </w:rPr>
              <w:t>30%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4"/>
                <w:szCs w:val="24"/>
                <w:lang w:val="en-US" w:eastAsia="zh-CN" w:bidi="ar-SA"/>
              </w:rPr>
            </w:pPr>
            <w:r>
              <w:rPr>
                <w:rFonts w:hint="eastAsia" w:ascii="方正仿宋_GBK" w:hAnsi="方正仿宋_GBK" w:eastAsia="方正仿宋_GBK"/>
                <w:color w:val="000000"/>
                <w:kern w:val="0"/>
                <w:lang w:val="en-US" w:eastAsia="zh-CN"/>
              </w:rPr>
              <w:t>1次</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宋体" w:eastAsia="仿宋_GB2312" w:cs="宋体"/>
                <w:color w:val="000000"/>
                <w:kern w:val="0"/>
                <w:sz w:val="24"/>
                <w:szCs w:val="24"/>
                <w:lang w:val="en-US" w:eastAsia="zh-CN"/>
              </w:rPr>
            </w:pPr>
            <w:r>
              <w:rPr>
                <w:rFonts w:hint="eastAsia" w:ascii="方正仿宋_GBK" w:hAnsi="方正仿宋_GBK" w:eastAsia="方正仿宋_GBK"/>
                <w:color w:val="000000"/>
                <w:kern w:val="0"/>
                <w:lang w:val="en-US" w:eastAsia="zh-CN"/>
              </w:rPr>
              <w:t>下半年</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学校办学情况抽查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学校招生、办学、收费等情况的检查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各类学校</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教育部门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2023年9月</w:t>
            </w:r>
          </w:p>
        </w:tc>
      </w:tr>
      <w:tr>
        <w:tblPrEx>
          <w:tblCellMar>
            <w:top w:w="0" w:type="dxa"/>
            <w:left w:w="108" w:type="dxa"/>
            <w:bottom w:w="0" w:type="dxa"/>
            <w:right w:w="108" w:type="dxa"/>
          </w:tblCellMar>
        </w:tblPrEx>
        <w:trPr>
          <w:trHeight w:val="810" w:hRule="atLeast"/>
        </w:trPr>
        <w:tc>
          <w:tcPr>
            <w:tcW w:w="6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房地产市场监督执法检查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房地产市场监督执法检查</w:t>
            </w:r>
          </w:p>
        </w:tc>
        <w:tc>
          <w:tcPr>
            <w:tcW w:w="20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房地产开发、物业、中介、估价、租赁等房地产从业单位</w:t>
            </w:r>
          </w:p>
        </w:tc>
        <w:tc>
          <w:tcPr>
            <w:tcW w:w="12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市住建局（房地产管理科）</w:t>
            </w:r>
          </w:p>
        </w:tc>
        <w:tc>
          <w:tcPr>
            <w:tcW w:w="15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市市场监管局</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3月-12月</w:t>
            </w:r>
          </w:p>
        </w:tc>
      </w:tr>
      <w:tr>
        <w:tblPrEx>
          <w:tblCellMar>
            <w:top w:w="0" w:type="dxa"/>
            <w:left w:w="108" w:type="dxa"/>
            <w:bottom w:w="0" w:type="dxa"/>
            <w:right w:w="108" w:type="dxa"/>
          </w:tblCellMar>
        </w:tblPrEx>
        <w:trPr>
          <w:trHeight w:val="810" w:hRule="atLeast"/>
        </w:trPr>
        <w:tc>
          <w:tcPr>
            <w:tcW w:w="66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75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房地产行业网签备案价及明码标价情况的检查</w:t>
            </w:r>
          </w:p>
        </w:tc>
        <w:tc>
          <w:tcPr>
            <w:tcW w:w="2054"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92"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35"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08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r>
      <w:tr>
        <w:tblPrEx>
          <w:tblCellMar>
            <w:top w:w="0" w:type="dxa"/>
            <w:left w:w="108" w:type="dxa"/>
            <w:bottom w:w="0" w:type="dxa"/>
            <w:right w:w="108" w:type="dxa"/>
          </w:tblCellMar>
        </w:tblPrEx>
        <w:trPr>
          <w:trHeight w:val="810" w:hRule="atLeast"/>
        </w:trPr>
        <w:tc>
          <w:tcPr>
            <w:tcW w:w="66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建筑市场监督执法检查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建筑市场监督执法检查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建筑市场从业单位</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市住建局（市场站）</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黄石市人力资源和社会保障局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7-9月</w:t>
            </w:r>
          </w:p>
        </w:tc>
      </w:tr>
      <w:tr>
        <w:tblPrEx>
          <w:tblCellMar>
            <w:top w:w="0" w:type="dxa"/>
            <w:left w:w="108" w:type="dxa"/>
            <w:bottom w:w="0" w:type="dxa"/>
            <w:right w:w="108" w:type="dxa"/>
          </w:tblCellMar>
        </w:tblPrEx>
        <w:trPr>
          <w:trHeight w:val="810" w:hRule="atLeast"/>
        </w:trPr>
        <w:tc>
          <w:tcPr>
            <w:tcW w:w="668"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753"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检查建筑市场竣工验收及消防情况</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建筑市场从业单位</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市住建局（质监站）</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黄石市消防救援支队</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8-9月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6</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道路交通运输行业监管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道路危险货物运输企业检查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道路危险货物运输企业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交通运输部门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公安、税务部门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道路交通运输行业监管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道路运输新业态企业检查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道路运输新业态经营企业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交通运输部门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公安、市场监管、税务部门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道路交通运输行业监管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道路运输车辆达标管理情况检查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道路运输车辆达标管理相关机构</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交通运输部门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9</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水路、港口交通运输行业监管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对水路运输经营者经营资质保持情况的检查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水路运输经营者</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交通运输部门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长江海事管理部门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水路、港口交通运输行业监管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对港口经营情况的检查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港口经营者</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交通运输部门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11</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农业生产资料监管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农药监督检查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农药生产者、经营者，农药登记试验单位</w:t>
            </w:r>
          </w:p>
        </w:tc>
        <w:tc>
          <w:tcPr>
            <w:tcW w:w="12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农业农村部门</w:t>
            </w:r>
          </w:p>
        </w:tc>
        <w:tc>
          <w:tcPr>
            <w:tcW w:w="15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12</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肥料监督检查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肥料生产经营者</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13</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种子监督检查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农业机械生产经营企业</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14</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兽药监督检查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兽药生产经营企业</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15</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饲料、饲料添加剂监督抽查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饲料和饲料添加剂生产企业和经营企业</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16</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农业转基因生物安全检查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农业转基因生物安全监督检查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在我国境内从事农业转基因生物研究、试验、生产、加工、经营和进口、出口活动的单位和个人</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农业农村部门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生态环境、海关部门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17</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水生野生动物及其制品利用活动的检查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水生野生动物及其制品利用活动的监督检查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利用水生野生动物及其制品的事业单位、企业、社会组织、个人</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农业农村部门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18</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新车销售市场监管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检查企业汽车及配件销售和各项服务收费公示情况；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检查汽车销售标价额外加价、强制消费等情况；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检查汽车产品三包信息公示情况；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检查供应商授权情况；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检查汽车销售合同档案建立情况；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检查经销商在全国汽车流通信息管理系统信息报送情况。</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新车销售市场经营主体</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市商务局（流通科）、市市场监管局（消保科）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市税务局（稽查局）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8-10月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19</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二手车市场监管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检查二手车交易市场经营者和经营主体建立二手车交易购销、买卖、拍卖的档案情况。</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二手车交易市场</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市商务局（流通科）</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市市场监管局（消保科）、市税务局（稽查局）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8-10月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报废机动车回收拆解活动监管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检查报废机动车回收拆解企业资质认定条件情况（含场地）；</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检查报废机动车拆解过程中环保法律法规和强制性标准落实情况；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检查注销登记办理情况及是否有倒卖报废机动车回收证明的情况；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检查“五大总成”及其他零部件处理情况。</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报废机动车回收拆解企业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市商务局（流通科）</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市公安局、市生态环境局、市市场监管局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8-10月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21</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商务领域拍卖行业经营资格抽查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企业的设立是否符合《拍卖管理法》要求；</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企业年度内是否有违规经营事项；</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企业按时报送行业经营统计数据的情况；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拍卖师从业情况及资质使用情况；</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拍卖企业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市商务局（服务贸易科）</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市市场监管局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8-10月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22</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娱乐场所的“双随机、一公开”抽查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歌舞娱乐场所、游戏（游艺）娱乐场所、剧本娱乐场所取得、公示相关许可证及依法经营情况的检查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歌舞娱乐场所、游戏（游艺）娱乐场所、剧本娱乐场所</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文旅部门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公安部门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7月—9月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23</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互联网上网服务营业场所的“双随机、一公开”抽查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互联网上网服务营业场所取得、公示相关许可证及其他情况的检查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互联网上网服务营业场所</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文旅部门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公安部门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7月—9月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24</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经营性互联网文化单位的“双随机、一公开”抽查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经营性互联网文化单位取得、公示相关许可证及其他情况的检查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经营性互联网文化单位</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文旅部门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公安部门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7月—9月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25</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营业性演出经营活动从业单位的“双随机、一公开”抽查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营业性演出经营活动从业单位取得、公示相关许可证及其他情况的检查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演出经纪机构</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文旅部门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3月—11月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26</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旅行社行业监管的“双随机、一公开”抽查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旅行社取得许可证、经营情况检查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旅行社</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文旅部门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交通运输部门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3月—11月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27</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default" w:ascii="方正仿宋_GBK" w:hAnsi="方正仿宋_GBK" w:eastAsia="方正仿宋_GBK"/>
                <w:color w:val="000000"/>
                <w:kern w:val="0"/>
                <w:lang w:val="en-US" w:eastAsia="zh-CN"/>
              </w:rPr>
              <w:t>影剧院、录像厅（室）、游艺厅（室）、舞厅、音乐厅经营卫生情况抽查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default" w:ascii="方正仿宋_GBK" w:hAnsi="方正仿宋_GBK" w:eastAsia="方正仿宋_GBK"/>
                <w:color w:val="000000"/>
                <w:kern w:val="0"/>
                <w:lang w:val="en-US" w:eastAsia="zh-CN"/>
              </w:rPr>
              <w:t>影剧院、录像厅（室）、游艺厅（室）、舞厅、音乐厅卫生状况及卫生制度的检查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各类影剧院、录像厅（室）、游艺厅（室）、舞厅、音乐厅</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卫健部门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 xml:space="preserve">5% </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28</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游泳场所</w:t>
            </w:r>
            <w:r>
              <w:rPr>
                <w:rFonts w:hint="default" w:ascii="方正仿宋_GBK" w:hAnsi="方正仿宋_GBK" w:eastAsia="方正仿宋_GBK"/>
                <w:color w:val="000000"/>
                <w:kern w:val="0"/>
                <w:lang w:val="en-US" w:eastAsia="zh-CN"/>
              </w:rPr>
              <w:t>卫生</w:t>
            </w:r>
            <w:r>
              <w:rPr>
                <w:rFonts w:hint="eastAsia" w:ascii="方正仿宋_GBK" w:hAnsi="方正仿宋_GBK" w:eastAsia="方正仿宋_GBK"/>
                <w:color w:val="000000"/>
                <w:kern w:val="0"/>
                <w:lang w:val="en-US" w:eastAsia="zh-CN"/>
              </w:rPr>
              <w:t>及安全</w:t>
            </w:r>
            <w:r>
              <w:rPr>
                <w:rFonts w:hint="default" w:ascii="方正仿宋_GBK" w:hAnsi="方正仿宋_GBK" w:eastAsia="方正仿宋_GBK"/>
                <w:color w:val="000000"/>
                <w:kern w:val="0"/>
                <w:lang w:val="en-US" w:eastAsia="zh-CN"/>
              </w:rPr>
              <w:t>情况抽查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室内、室外人工游泳场所</w:t>
            </w:r>
            <w:r>
              <w:rPr>
                <w:rFonts w:hint="default" w:ascii="方正仿宋_GBK" w:hAnsi="方正仿宋_GBK" w:eastAsia="方正仿宋_GBK"/>
                <w:color w:val="000000"/>
                <w:kern w:val="0"/>
                <w:lang w:val="en-US" w:eastAsia="zh-CN"/>
              </w:rPr>
              <w:t>卫生状况及</w:t>
            </w:r>
            <w:r>
              <w:rPr>
                <w:rFonts w:hint="eastAsia" w:ascii="方正仿宋_GBK" w:hAnsi="方正仿宋_GBK" w:eastAsia="方正仿宋_GBK"/>
                <w:color w:val="000000"/>
                <w:kern w:val="0"/>
                <w:lang w:val="en-US" w:eastAsia="zh-CN"/>
              </w:rPr>
              <w:t>安全</w:t>
            </w:r>
            <w:r>
              <w:rPr>
                <w:rFonts w:hint="default" w:ascii="方正仿宋_GBK" w:hAnsi="方正仿宋_GBK" w:eastAsia="方正仿宋_GBK"/>
                <w:color w:val="000000"/>
                <w:kern w:val="0"/>
                <w:lang w:val="en-US" w:eastAsia="zh-CN"/>
              </w:rPr>
              <w:t>制度的检查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各类室内、室外人工游泳场所</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卫健部门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市文化旅游部门、住建部门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29</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二次供水单位</w:t>
            </w:r>
            <w:r>
              <w:rPr>
                <w:rFonts w:hint="default" w:ascii="方正仿宋_GBK" w:hAnsi="方正仿宋_GBK" w:eastAsia="方正仿宋_GBK"/>
                <w:color w:val="000000"/>
                <w:kern w:val="0"/>
                <w:lang w:val="en-US" w:eastAsia="zh-CN"/>
              </w:rPr>
              <w:t>卫生情况抽查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二次供水单位管理</w:t>
            </w:r>
            <w:r>
              <w:rPr>
                <w:rFonts w:hint="default" w:ascii="方正仿宋_GBK" w:hAnsi="方正仿宋_GBK" w:eastAsia="方正仿宋_GBK"/>
                <w:color w:val="000000"/>
                <w:kern w:val="0"/>
                <w:lang w:val="en-US" w:eastAsia="zh-CN"/>
              </w:rPr>
              <w:t>及卫生状况的检查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二次供水单位</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卫健部门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城管委</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 xml:space="preserve">5% </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6-12月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30</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default" w:ascii="方正仿宋_GBK" w:hAnsi="方正仿宋_GBK" w:eastAsia="方正仿宋_GBK"/>
                <w:color w:val="000000"/>
                <w:kern w:val="0"/>
                <w:lang w:val="en-US" w:eastAsia="zh-CN"/>
              </w:rPr>
              <w:t>工业企业安全生产情况的检查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工业企业职业健康制度落实情况的检查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各类工业企业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卫健部门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人社部门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6-12月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31</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医疗废物安全处置情况抽查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医疗废物管理制度建立及医疗废物分类收集、运送、暂时贮存、处置情况的检查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全市医疗卫生机构及医疗废物集中处置单位</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卫健部门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生态环境部门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7-12月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sz w:val="21"/>
                <w:lang w:val="en-US" w:eastAsia="zh-CN" w:bidi="ar-SA"/>
              </w:rPr>
            </w:pPr>
            <w:r>
              <w:rPr>
                <w:rFonts w:hint="eastAsia" w:ascii="方正仿宋_GBK" w:hAnsi="方正仿宋_GBK" w:eastAsia="方正仿宋_GBK"/>
                <w:color w:val="000000"/>
                <w:kern w:val="0"/>
                <w:lang w:val="en-US" w:eastAsia="zh-CN"/>
              </w:rPr>
              <w:t>32</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sz w:val="21"/>
                <w:lang w:val="en-US" w:eastAsia="zh-CN" w:bidi="ar-SA"/>
              </w:rPr>
            </w:pPr>
            <w:r>
              <w:rPr>
                <w:rFonts w:hint="eastAsia" w:ascii="方正仿宋_GBK" w:hAnsi="方正仿宋_GBK" w:eastAsia="方正仿宋_GBK"/>
                <w:color w:val="000000"/>
                <w:kern w:val="0"/>
                <w:lang w:val="en-US" w:eastAsia="zh-CN"/>
              </w:rPr>
              <w:t>燃气经营监督执法检查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燃气经营许可证取得情况的检查；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sz w:val="21"/>
                <w:lang w:val="en-US" w:eastAsia="zh-CN" w:bidi="ar-SA"/>
              </w:rPr>
            </w:pPr>
            <w:r>
              <w:rPr>
                <w:rFonts w:hint="eastAsia" w:ascii="方正仿宋_GBK" w:hAnsi="方正仿宋_GBK" w:eastAsia="方正仿宋_GBK"/>
                <w:color w:val="000000"/>
                <w:kern w:val="0"/>
                <w:lang w:val="en-US" w:eastAsia="zh-CN"/>
              </w:rPr>
              <w:t>燃气经营监督执法检查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sz w:val="21"/>
                <w:lang w:val="en-US" w:eastAsia="zh-CN" w:bidi="ar-SA"/>
              </w:rPr>
            </w:pPr>
            <w:r>
              <w:rPr>
                <w:rFonts w:hint="eastAsia" w:ascii="方正仿宋_GBK" w:hAnsi="方正仿宋_GBK" w:eastAsia="方正仿宋_GBK"/>
                <w:color w:val="000000"/>
                <w:kern w:val="0"/>
                <w:lang w:val="en-US" w:eastAsia="zh-CN"/>
              </w:rPr>
              <w:t>黄石城区燃气经营企业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sz w:val="21"/>
                <w:lang w:val="en-US" w:eastAsia="zh-CN" w:bidi="ar-SA"/>
              </w:rPr>
            </w:pPr>
            <w:r>
              <w:rPr>
                <w:rFonts w:hint="eastAsia" w:ascii="方正仿宋_GBK" w:hAnsi="方正仿宋_GBK" w:eastAsia="方正仿宋_GBK"/>
                <w:color w:val="000000"/>
                <w:kern w:val="0"/>
                <w:lang w:val="en-US" w:eastAsia="zh-CN"/>
              </w:rPr>
              <w:t>市城管委 （执法科）</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市市场监管局（特设承压科）市气象局综合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办公室</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（法规科）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市消防救援支队</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sz w:val="21"/>
                <w:lang w:val="en-US" w:eastAsia="zh-CN" w:bidi="ar-SA"/>
              </w:rPr>
            </w:pPr>
            <w:r>
              <w:rPr>
                <w:rFonts w:hint="eastAsia" w:ascii="方正仿宋_GBK" w:hAnsi="方正仿宋_GBK" w:eastAsia="方正仿宋_GBK"/>
                <w:color w:val="000000"/>
                <w:kern w:val="0"/>
                <w:lang w:val="en-US" w:eastAsia="zh-CN"/>
              </w:rPr>
              <w:t>（防火建筑科）</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sz w:val="21"/>
                <w:lang w:val="en-US" w:eastAsia="zh-CN" w:bidi="ar-SA"/>
              </w:rPr>
            </w:pPr>
            <w:r>
              <w:rPr>
                <w:rFonts w:hint="eastAsia" w:ascii="方正仿宋_GBK" w:hAnsi="方正仿宋_GBK" w:eastAsia="方正仿宋_GBK"/>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sz w:val="21"/>
                <w:lang w:val="en-US" w:eastAsia="zh-CN" w:bidi="ar-SA"/>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sz w:val="21"/>
                <w:lang w:val="en-US" w:eastAsia="zh-CN" w:bidi="ar-SA"/>
              </w:rPr>
            </w:pPr>
            <w:r>
              <w:rPr>
                <w:rFonts w:hint="eastAsia" w:ascii="方正仿宋_GBK" w:hAnsi="方正仿宋_GBK" w:eastAsia="方正仿宋_GBK"/>
                <w:color w:val="000000"/>
                <w:kern w:val="0"/>
                <w:lang w:val="en-US" w:eastAsia="zh-CN"/>
              </w:rPr>
              <w:t>7月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33</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机动车检验检测机构抽查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检验设备、关键人员、检验项目、检验结果等其他情况抽查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全市机动车检验检测机构</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公安、生态环境部门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6月、12月各一次</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34</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学校食堂抽查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学校食堂食品安全情况抽查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中小学、幼儿园</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市场监管部门（餐饮科）</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教育部门（校安办）</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市级30%；县市100%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2023年3月-10月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35</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医疗广告</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医疗美容</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医疗广告发布者</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卫健部门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36</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教育培训广告</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对违法“双减”工作的广告检查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教育培训广告发布者</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教育部门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5-12月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37</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药品领域</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药品、医疗器械等质量安全、产品专利宣传真实性的检查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基层医疗机构</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医保、卫健部门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38</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企业年度报告抽查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年度报告公示信息的检查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外资企业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商务部门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4-5月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39</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企业年度报告抽查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年度报告公示信息的检查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制造企业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人社部门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2%</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4-5月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40</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车用油品质量监管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重点区域车用油品质量抽查监测</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车用油品生产、销售、运输、储存企业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生态环境、商务部门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3%</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4-9月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41</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辖区内纳税人、扣缴义务人和其他涉税当事人涉税情况随机抽查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税务登记事项、发票管理和使用情况、纳税申报情况、履行代扣代缴义务情况、所得税汇算清缴情况、税收优惠事项、出口退税情况及其他不遵从税法行为的核查与检查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纳税人、扣缴义务人和其他涉税当事人</w:t>
            </w:r>
            <w:r>
              <w:rPr>
                <w:rFonts w:hint="eastAsia" w:ascii="方正仿宋_GBK" w:hAnsi="方正仿宋_GBK" w:eastAsia="方正仿宋_GBK"/>
                <w:color w:val="000000"/>
                <w:kern w:val="0"/>
                <w:lang w:val="en-US" w:eastAsia="zh-CN"/>
              </w:rPr>
              <w:tab/>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税务部门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市场监管部门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不超过3%</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待定</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42</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全市性行业协会商会抽查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行业协会商会涉企收费抽查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行业协会商会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市民政局（社会组织管理科）</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市市场监管局（价格监督检查和反不正当竞争科）</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olor w:val="000000"/>
                <w:kern w:val="0"/>
                <w:lang w:val="en-US" w:eastAsia="zh-CN"/>
              </w:rPr>
            </w:pPr>
            <w:r>
              <w:rPr>
                <w:rFonts w:hint="eastAsia" w:ascii="方正仿宋_GBK" w:hAnsi="方正仿宋_GBK" w:eastAsia="方正仿宋_GBK"/>
                <w:color w:val="000000"/>
                <w:kern w:val="0"/>
                <w:lang w:val="en-US" w:eastAsia="zh-CN"/>
              </w:rPr>
              <w:t>4-11月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43</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测绘成果质量监督抽查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1、测绘成果质量抽查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全市乙级测绘资质单位</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黄石市自然资源和规划局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黄石市市场监督管理局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7-12月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44</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测绘资质巡查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1、测绘资质条件的真实性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2、测绘管理制度执行情况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3、测绘资质年度报告公示内容真实性</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4、测绘项目登记汇交情况</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全市乙级测绘资质单位</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黄石市自然资源和规划局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黄石市市场监督管理局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7-12月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45</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陆生野生动物保护</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经营利用野生动物</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动物园</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黄石市自然资源和规划局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黄石市市场监督管理局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待定</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46</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取用水（节水）管理</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节约用水管理有关法律法规落实情况</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全市自备水源重点用水户、公共管网非居民重点用水户</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黄石市水利和湖泊局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黄石市城市管理执法委员会</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47</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水土保持</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1.生产建设项目水土保持方案落实情况；2.水土保持许可情况;3.水土保持补偿费缴纳情况；4.水土保持设施竣工验收情况。</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全市房地产建设项目</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黄石市水利和湖泊局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黄石市发展改革委员会</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48</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小水电安全生产和生态流量下泄</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1.小水电站安全生产落实情况;2.生态流量下泄情况。</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全市正常运行中的电站</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黄石市水利和湖泊局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黄石市生态环境局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2-12月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49</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水旱灾害防御安全</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抽查水利设施防汛责任制落实情况；2.抽查水利设施安全度汛工作；3.抽查防汛物料储备管理和技术人员组织情况；4.抽查预案方案编制和修订情况；5.抽查水工程防洪抗旱调度运用情况；6.抽查山洪灾害监测预警和防御相关工作。</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全市水利设施</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黄石市水利和湖泊局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黄石市应急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管理局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2-10月</w:t>
            </w:r>
          </w:p>
        </w:tc>
      </w:tr>
      <w:tr>
        <w:tblPrEx>
          <w:tblCellMar>
            <w:top w:w="0" w:type="dxa"/>
            <w:left w:w="108" w:type="dxa"/>
            <w:bottom w:w="0" w:type="dxa"/>
            <w:right w:w="108" w:type="dxa"/>
          </w:tblCellMar>
        </w:tblPrEx>
        <w:trPr>
          <w:trHeight w:val="2400" w:hRule="atLeast"/>
        </w:trPr>
        <w:tc>
          <w:tcPr>
            <w:tcW w:w="668"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在建人防工程</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1.对人防工程防护设备定点生产企业生产安装质量的监督检查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2.建设工程质量监督检查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全市在建人防工程</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人防部门（市民防设施维护管理处）</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住建部门（质量监督站）</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2023年3-11月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51</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在建人防工程</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1.对在建人防工程建设质量的监督检查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2.建设工程质量监督检查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全市在建人防工程</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人防部门（市民防设施维护管理处）</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住建部门（质量监督站）</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2023年3-11月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52</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邮政快递业</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邮政快递市场监督检查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邮政快递企业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黄石市邮政管理局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市市场监督管理局、市公安局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2023年11月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53</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工业企业安全生产情况的抽查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工业企业安全生产有关制度设置、落实等情况的检查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矿山企业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应急管理部门(基础科)</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自然资源部门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54</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工业企业安全生产情况的抽查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工业企业安全生产有关制度设置、落实等情况的检查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工贸企业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应急管理部门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(基础科)</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经信部门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55</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危险化学品企业安全生产情况抽查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危险化学品生产、储存、使用、经营安全生产的监督检查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危化品生产经营单位</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市应急管理局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市经信局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每半年1家</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56</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工业企业安全生产情况的检查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工业企业安全生产有关制度设置、落实等情况的检查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规上工业企业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经信部门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应急部门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2023年3-12月</w:t>
            </w:r>
          </w:p>
        </w:tc>
      </w:tr>
      <w:tr>
        <w:tblPrEx>
          <w:tblCellMar>
            <w:top w:w="0" w:type="dxa"/>
            <w:left w:w="108" w:type="dxa"/>
            <w:bottom w:w="0" w:type="dxa"/>
            <w:right w:w="108" w:type="dxa"/>
          </w:tblCellMar>
        </w:tblPrEx>
        <w:trPr>
          <w:trHeight w:val="810" w:hRule="atLeast"/>
        </w:trPr>
        <w:tc>
          <w:tcPr>
            <w:tcW w:w="6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57</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劳动用工监管</w:t>
            </w:r>
          </w:p>
        </w:tc>
        <w:tc>
          <w:tcPr>
            <w:tcW w:w="253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各类用人单位（与劳动者建立劳动关系）工资支付、参保缴费等情况检查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劳务派遣用工检查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各类用人单位、建筑施工项目（与劳动者建立劳动关系）</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人社部门</w:t>
            </w:r>
          </w:p>
        </w:tc>
        <w:tc>
          <w:tcPr>
            <w:tcW w:w="15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住建、交通运输、市场监管、税务部门</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不定</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2023年6-7月</w:t>
            </w:r>
          </w:p>
        </w:tc>
      </w:tr>
      <w:tr>
        <w:tblPrEx>
          <w:tblCellMar>
            <w:top w:w="0" w:type="dxa"/>
            <w:left w:w="108" w:type="dxa"/>
            <w:bottom w:w="0" w:type="dxa"/>
            <w:right w:w="108" w:type="dxa"/>
          </w:tblCellMar>
        </w:tblPrEx>
        <w:trPr>
          <w:trHeight w:val="810" w:hRule="atLeast"/>
        </w:trPr>
        <w:tc>
          <w:tcPr>
            <w:tcW w:w="6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Times New Roman"/>
                <w:color w:val="000000"/>
                <w:kern w:val="0"/>
                <w:lang w:val="en-US" w:eastAsia="zh-CN"/>
              </w:rPr>
            </w:pPr>
          </w:p>
        </w:tc>
        <w:tc>
          <w:tcPr>
            <w:tcW w:w="2539" w:type="dxa"/>
            <w:vMerge w:val="continue"/>
            <w:tcBorders>
              <w:left w:val="single" w:color="auto" w:sz="4" w:space="0"/>
              <w:bottom w:val="single" w:color="auto" w:sz="4" w:space="0"/>
              <w:right w:val="single" w:color="auto" w:sz="4" w:space="0"/>
            </w:tcBorders>
            <w:vAlign w:val="center"/>
          </w:tcPr>
          <w:p>
            <w:pPr>
              <w:widowControl/>
              <w:spacing w:line="240" w:lineRule="exact"/>
              <w:rPr>
                <w:rFonts w:hint="eastAsia" w:ascii="方正仿宋_GBK" w:hAnsi="方正仿宋_GBK" w:eastAsia="方正仿宋_GBK" w:cs="Times New Roman"/>
                <w:color w:val="000000"/>
                <w:kern w:val="0"/>
                <w:lang w:val="en-US" w:eastAsia="zh-CN"/>
              </w:rPr>
            </w:pPr>
          </w:p>
        </w:tc>
        <w:tc>
          <w:tcPr>
            <w:tcW w:w="205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olor w:val="auto"/>
                <w:kern w:val="0"/>
              </w:rPr>
              <w:t>劳务派遣相关单位</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Times New Roman"/>
                <w:color w:val="000000"/>
                <w:kern w:val="0"/>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Times New Roman"/>
                <w:color w:val="000000"/>
                <w:kern w:val="0"/>
                <w:lang w:val="en-US" w:eastAsia="zh-CN"/>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Times New Roman"/>
                <w:color w:val="000000"/>
                <w:kern w:val="0"/>
                <w:lang w:val="en-US" w:eastAsia="zh-CN"/>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Times New Roman"/>
                <w:color w:val="000000"/>
                <w:kern w:val="0"/>
                <w:lang w:val="en-US" w:eastAsia="zh-CN"/>
              </w:rPr>
            </w:pPr>
          </w:p>
        </w:tc>
        <w:tc>
          <w:tcPr>
            <w:tcW w:w="20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810" w:hRule="atLeast"/>
        </w:trPr>
        <w:tc>
          <w:tcPr>
            <w:tcW w:w="6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58</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涉消耗臭氧层物质（ODS）的生产、使用、销售、维修、回收、销毁及原料用途等企业和单位的监管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1.消耗臭氧层物质含氢氯氟烃（HCFCs）年度生产配额、使用配额（100吨及以上）和使用备案（100吨以下）情况的检查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HCFCs的生产企业和使用企业</w:t>
            </w:r>
          </w:p>
        </w:tc>
        <w:tc>
          <w:tcPr>
            <w:tcW w:w="12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生态环境部门</w:t>
            </w:r>
          </w:p>
        </w:tc>
        <w:tc>
          <w:tcPr>
            <w:tcW w:w="15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商务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部门</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100%</w:t>
            </w:r>
          </w:p>
        </w:tc>
        <w:tc>
          <w:tcPr>
            <w:tcW w:w="12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2023年12月底前</w:t>
            </w:r>
          </w:p>
        </w:tc>
      </w:tr>
      <w:tr>
        <w:tblPrEx>
          <w:tblCellMar>
            <w:top w:w="0" w:type="dxa"/>
            <w:left w:w="108" w:type="dxa"/>
            <w:bottom w:w="0" w:type="dxa"/>
            <w:right w:w="108" w:type="dxa"/>
          </w:tblCellMar>
        </w:tblPrEx>
        <w:trPr>
          <w:trHeight w:val="810" w:hRule="atLeast"/>
        </w:trPr>
        <w:tc>
          <w:tcPr>
            <w:tcW w:w="6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2.对销售ODS企业和单位备案情况的检查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销售ODS企业和单位</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0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810" w:hRule="atLeast"/>
        </w:trPr>
        <w:tc>
          <w:tcPr>
            <w:tcW w:w="6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3.对含ODS的制冷设备、制冷系统或者灭火系统的维修、报废处理，ODS回收、再生利用或者销毁等经营活动的单位备案情况的检查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含ODS 的制冷设备、制冷系统或者灭火系统的维修、报废处理，ODS 回收、再生利用或者销毁等经营活动的单位</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0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810" w:hRule="atLeast"/>
        </w:trPr>
        <w:tc>
          <w:tcPr>
            <w:tcW w:w="6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4.副产四氯化碳（CTC）的甲烷氯化物企业合法销售和处置CTC情况的检查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副产四氯化碳（CTC）的甲烷氯化物企业</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0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810" w:hRule="atLeast"/>
        </w:trPr>
        <w:tc>
          <w:tcPr>
            <w:tcW w:w="6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5.使用ODS作为化工原料用途的企业的ODS采购和使用情况的检查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使用ODS作为化工原料用途的企业</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5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12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c>
          <w:tcPr>
            <w:tcW w:w="20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59</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生态环境监测机构监督检查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6.生态环境监测机构开展监测情况的检查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生态环境监测机构</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生态环境部门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市场监管部门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2023年11月底前</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60</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机动车销售企业监管</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7.机动车环保信息公开检查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机动车销售企业</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生态环境部门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商务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25%</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2023年9月底前</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61</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市政工程监督检查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8.城镇污水处理设施污染防治情况的检查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城镇污水处理厂</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生态环境部门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城管、住建部门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2023年9月底前</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62</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小额贷款公司监督检查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资金抽逃、虚假出资情况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资金来源及非法集资情况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擅自变更登记事项情况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超比例、超利率及向股东放贷情况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向股东放款情况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跨区域经营情况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内部管理情况</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小额贷款公司</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黄石市地方金融工作局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黄石市市场监督管理局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30</w:t>
            </w:r>
            <w:r>
              <w:rPr>
                <w:rFonts w:hint="eastAsia" w:ascii="方正仿宋_GBK" w:hAnsi="方正仿宋_GBK" w:eastAsia="方正仿宋_GBK" w:cs="Times New Roman"/>
                <w:color w:val="000000"/>
                <w:kern w:val="0"/>
                <w:lang w:val="en-US" w:eastAsia="zh-CN"/>
              </w:rPr>
              <w:t>%</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w:t>
            </w:r>
            <w:r>
              <w:rPr>
                <w:rFonts w:hint="default" w:ascii="方正仿宋_GBK" w:hAnsi="方正仿宋_GBK" w:eastAsia="方正仿宋_GBK" w:cs="Times New Roman"/>
                <w:color w:val="000000"/>
                <w:kern w:val="0"/>
                <w:lang w:val="en-US" w:eastAsia="zh-CN"/>
              </w:rPr>
              <w:t>7-9</w:t>
            </w:r>
            <w:r>
              <w:rPr>
                <w:rFonts w:hint="eastAsia" w:ascii="方正仿宋_GBK" w:hAnsi="方正仿宋_GBK" w:eastAsia="方正仿宋_GBK" w:cs="Times New Roman"/>
                <w:color w:val="000000"/>
                <w:kern w:val="0"/>
                <w:lang w:val="en-US" w:eastAsia="zh-CN"/>
              </w:rPr>
              <w:t>月</w:t>
            </w:r>
          </w:p>
        </w:tc>
      </w:tr>
      <w:tr>
        <w:tblPrEx>
          <w:tblCellMar>
            <w:top w:w="0" w:type="dxa"/>
            <w:left w:w="108" w:type="dxa"/>
            <w:bottom w:w="0" w:type="dxa"/>
            <w:right w:w="108" w:type="dxa"/>
          </w:tblCellMar>
        </w:tblPrEx>
        <w:trPr>
          <w:trHeight w:val="810"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63</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融资担保公司监督检查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是否依法取得融资担保业务经营许可证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合并、分立或者减少注册资本是否经监管部门批准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在住所地所在省、自治区、直辖市范围内设立分支机构，变更名称，变更持有5%以上股权的股东或者变更董事、监事、高级管理人员，是否按规定向监管部门备案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外省融资担保公司在我省设立分支机构是否经监管部门批准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是否存在抽逃注册资本的行为</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担保责任余额与其净资产比例是否符合规定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对同一被担保人及其关联方的担保责任余额与融资担保公司的净资产比例是否符合规定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是否为其控股股东、实际控制人提供融资担保，为其他关联方提供融资担保的条件是否优于为非关联方提供同类担保的条件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是否按照国家有关规定提取相应准备金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是否从事吸收存款或者变相吸收存款、自营贷款或者受托贷款、受托投资等活动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自有资金运用情况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I、II、III级资产比例</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融资担保公司或发现从事融资担保业务的机构、外省融资担保公司分支机构</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黄石市地方金融工作局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黄石市市场监督管理局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30</w:t>
            </w:r>
            <w:r>
              <w:rPr>
                <w:rFonts w:hint="eastAsia" w:ascii="方正仿宋_GBK" w:hAnsi="方正仿宋_GBK" w:eastAsia="方正仿宋_GBK" w:cs="Times New Roman"/>
                <w:color w:val="000000"/>
                <w:kern w:val="0"/>
                <w:lang w:val="en-US" w:eastAsia="zh-CN"/>
              </w:rPr>
              <w:t>%</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w:t>
            </w:r>
            <w:r>
              <w:rPr>
                <w:rFonts w:hint="default" w:ascii="方正仿宋_GBK" w:hAnsi="方正仿宋_GBK" w:eastAsia="方正仿宋_GBK" w:cs="Times New Roman"/>
                <w:color w:val="000000"/>
                <w:kern w:val="0"/>
                <w:lang w:val="en-US" w:eastAsia="zh-CN"/>
              </w:rPr>
              <w:t>7-9</w:t>
            </w:r>
            <w:r>
              <w:rPr>
                <w:rFonts w:hint="eastAsia" w:ascii="方正仿宋_GBK" w:hAnsi="方正仿宋_GBK" w:eastAsia="方正仿宋_GBK" w:cs="Times New Roman"/>
                <w:color w:val="000000"/>
                <w:kern w:val="0"/>
                <w:lang w:val="en-US" w:eastAsia="zh-CN"/>
              </w:rPr>
              <w:t>月</w:t>
            </w:r>
          </w:p>
        </w:tc>
      </w:tr>
      <w:tr>
        <w:tblPrEx>
          <w:tblCellMar>
            <w:top w:w="0" w:type="dxa"/>
            <w:left w:w="108" w:type="dxa"/>
            <w:bottom w:w="0" w:type="dxa"/>
            <w:right w:w="108" w:type="dxa"/>
          </w:tblCellMar>
        </w:tblPrEx>
        <w:trPr>
          <w:trHeight w:val="2496"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64</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典当行监督检查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典当经营许可情况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虚假出资、抽逃资金情况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资金来源情况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法人股东存续情况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与股东资金往来情况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典当业务机构及放款情况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对绝当物品处理情况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当票使用情况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息费收取情况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典当企业及其分支机构擅自变更登记事项情况</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内部制度建设情况</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典当行</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黄石市地方金融工作局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黄石市市场监督管理局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default" w:ascii="方正仿宋_GBK" w:hAnsi="方正仿宋_GBK" w:eastAsia="方正仿宋_GBK" w:cs="Times New Roman"/>
                <w:color w:val="000000"/>
                <w:kern w:val="0"/>
                <w:lang w:val="en-US" w:eastAsia="zh-CN"/>
              </w:rPr>
              <w:t>30</w:t>
            </w:r>
            <w:r>
              <w:rPr>
                <w:rFonts w:hint="eastAsia" w:ascii="方正仿宋_GBK" w:hAnsi="方正仿宋_GBK" w:eastAsia="方正仿宋_GBK" w:cs="Times New Roman"/>
                <w:color w:val="000000"/>
                <w:kern w:val="0"/>
                <w:lang w:val="en-US" w:eastAsia="zh-CN"/>
              </w:rPr>
              <w:t>%</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w:t>
            </w:r>
            <w:r>
              <w:rPr>
                <w:rFonts w:hint="default" w:ascii="方正仿宋_GBK" w:hAnsi="方正仿宋_GBK" w:eastAsia="方正仿宋_GBK" w:cs="Times New Roman"/>
                <w:color w:val="000000"/>
                <w:kern w:val="0"/>
                <w:lang w:val="en-US" w:eastAsia="zh-CN"/>
              </w:rPr>
              <w:t>7-9</w:t>
            </w:r>
            <w:r>
              <w:rPr>
                <w:rFonts w:hint="eastAsia" w:ascii="方正仿宋_GBK" w:hAnsi="方正仿宋_GBK" w:eastAsia="方正仿宋_GBK" w:cs="Times New Roman"/>
                <w:color w:val="000000"/>
                <w:kern w:val="0"/>
                <w:lang w:val="en-US" w:eastAsia="zh-CN"/>
              </w:rPr>
              <w:t>月</w:t>
            </w:r>
          </w:p>
        </w:tc>
      </w:tr>
      <w:tr>
        <w:tblPrEx>
          <w:tblCellMar>
            <w:top w:w="0" w:type="dxa"/>
            <w:left w:w="108" w:type="dxa"/>
            <w:bottom w:w="0" w:type="dxa"/>
            <w:right w:w="108" w:type="dxa"/>
          </w:tblCellMar>
        </w:tblPrEx>
        <w:trPr>
          <w:trHeight w:val="2496"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65</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国家常规统计调查、部门统计调查、地方统计调查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调查对象依法设置原始记录、统计台账以及统计数据质量情况检查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统计调查对象</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市统计局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市市场监督管理局</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0.5%</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2023年12月</w:t>
            </w:r>
          </w:p>
        </w:tc>
      </w:tr>
      <w:tr>
        <w:tblPrEx>
          <w:tblCellMar>
            <w:top w:w="0" w:type="dxa"/>
            <w:left w:w="108" w:type="dxa"/>
            <w:bottom w:w="0" w:type="dxa"/>
            <w:right w:w="108" w:type="dxa"/>
          </w:tblCellMar>
        </w:tblPrEx>
        <w:trPr>
          <w:trHeight w:val="2496"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66</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医保基金监管领域</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2022年1月1日至2022年12月31日纳入基本医疗保险基金支付范围的所有医药服务行为和医药费用</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基层医保定点医疗机构</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市医保局</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市卫健委</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3月-6月</w:t>
            </w:r>
          </w:p>
        </w:tc>
      </w:tr>
      <w:tr>
        <w:tblPrEx>
          <w:tblCellMar>
            <w:top w:w="0" w:type="dxa"/>
            <w:left w:w="108" w:type="dxa"/>
            <w:bottom w:w="0" w:type="dxa"/>
            <w:right w:w="108" w:type="dxa"/>
          </w:tblCellMar>
        </w:tblPrEx>
        <w:trPr>
          <w:trHeight w:val="2496"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67</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依法必须招标工程建设项目招标投标抽查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依法必须招标工程建设项目招标投标情况的抽查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2022年10月-2023年9月市级公共资源交易平台工程建设招标投标项目</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政数部门</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方正仿宋_GBK"/>
                <w:color w:val="auto"/>
                <w:kern w:val="0"/>
                <w:sz w:val="24"/>
                <w:szCs w:val="24"/>
              </w:rPr>
              <w:t>发改、</w:t>
            </w:r>
            <w:r>
              <w:rPr>
                <w:rFonts w:hint="eastAsia" w:ascii="方正仿宋_GBK" w:hAnsi="方正仿宋_GBK" w:eastAsia="方正仿宋_GBK" w:cs="方正仿宋_GBK"/>
                <w:color w:val="auto"/>
                <w:kern w:val="0"/>
                <w:sz w:val="24"/>
                <w:szCs w:val="24"/>
                <w:lang w:eastAsia="zh-CN"/>
              </w:rPr>
              <w:t>住建、</w:t>
            </w:r>
            <w:r>
              <w:rPr>
                <w:rFonts w:hint="eastAsia" w:ascii="方正仿宋_GBK" w:hAnsi="方正仿宋_GBK" w:eastAsia="方正仿宋_GBK" w:cs="方正仿宋_GBK"/>
                <w:color w:val="auto"/>
                <w:kern w:val="0"/>
                <w:sz w:val="24"/>
                <w:szCs w:val="24"/>
              </w:rPr>
              <w:t>交通运输、水利部门</w:t>
            </w:r>
            <w:r>
              <w:rPr>
                <w:rFonts w:hint="eastAsia" w:ascii="方正仿宋_GBK" w:hAnsi="方正仿宋_GBK" w:eastAsia="方正仿宋_GBK" w:cs="方正仿宋_GBK"/>
                <w:color w:val="auto"/>
                <w:kern w:val="0"/>
                <w:sz w:val="24"/>
                <w:szCs w:val="24"/>
                <w:lang w:eastAsia="zh-CN"/>
              </w:rPr>
              <w:t>，</w:t>
            </w:r>
            <w:r>
              <w:rPr>
                <w:rFonts w:hint="eastAsia" w:ascii="方正仿宋_GBK" w:hAnsi="方正仿宋_GBK" w:eastAsia="方正仿宋_GBK" w:cs="方正仿宋_GBK"/>
                <w:color w:val="auto"/>
                <w:kern w:val="0"/>
                <w:sz w:val="24"/>
                <w:szCs w:val="24"/>
              </w:rPr>
              <w:t>公共资源交易中心</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5%或不少于30个，具体以上级检查方案为准</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10-12月</w:t>
            </w:r>
          </w:p>
        </w:tc>
      </w:tr>
      <w:tr>
        <w:tblPrEx>
          <w:tblCellMar>
            <w:top w:w="0" w:type="dxa"/>
            <w:left w:w="108" w:type="dxa"/>
            <w:bottom w:w="0" w:type="dxa"/>
            <w:right w:w="108" w:type="dxa"/>
          </w:tblCellMar>
        </w:tblPrEx>
        <w:trPr>
          <w:trHeight w:val="2496" w:hRule="atLeast"/>
        </w:trPr>
        <w:tc>
          <w:tcPr>
            <w:tcW w:w="6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68</w:t>
            </w:r>
          </w:p>
        </w:tc>
        <w:tc>
          <w:tcPr>
            <w:tcW w:w="17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消防产品检查</w:t>
            </w:r>
          </w:p>
        </w:tc>
        <w:tc>
          <w:tcPr>
            <w:tcW w:w="2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使用领域消防产品的检查</w:t>
            </w:r>
          </w:p>
        </w:tc>
        <w:tc>
          <w:tcPr>
            <w:tcW w:w="2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使用领域消防产品</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市消防救援支队</w:t>
            </w:r>
          </w:p>
        </w:tc>
        <w:tc>
          <w:tcPr>
            <w:tcW w:w="15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市场监管部门、住建部门</w:t>
            </w:r>
          </w:p>
        </w:tc>
        <w:tc>
          <w:tcPr>
            <w:tcW w:w="13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100%</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2次/年</w:t>
            </w:r>
          </w:p>
        </w:tc>
        <w:tc>
          <w:tcPr>
            <w:tcW w:w="2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Times New Roman"/>
                <w:color w:val="000000"/>
                <w:kern w:val="0"/>
                <w:lang w:val="en-US" w:eastAsia="zh-CN"/>
              </w:rPr>
            </w:pPr>
            <w:r>
              <w:rPr>
                <w:rFonts w:hint="eastAsia" w:ascii="方正仿宋_GBK" w:hAnsi="方正仿宋_GBK" w:eastAsia="方正仿宋_GBK" w:cs="Times New Roman"/>
                <w:color w:val="000000"/>
                <w:kern w:val="0"/>
                <w:lang w:val="en-US" w:eastAsia="zh-CN"/>
              </w:rPr>
              <w:t>2023年3-11月</w:t>
            </w:r>
          </w:p>
        </w:tc>
      </w:tr>
    </w:tbl>
    <w:p/>
    <w:sectPr>
      <w:headerReference r:id="rId3" w:type="default"/>
      <w:footerReference r:id="rId4" w:type="default"/>
      <w:pgSz w:w="16838" w:h="11906" w:orient="landscape"/>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81"/>
    <w:family w:val="roma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OGNlZmJlNjg1ZTU1NmJiYWViNDY2MWU0OTZlYzMifQ=="/>
  </w:docVars>
  <w:rsids>
    <w:rsidRoot w:val="41F70091"/>
    <w:rsid w:val="00D42EE5"/>
    <w:rsid w:val="075353E7"/>
    <w:rsid w:val="08B57154"/>
    <w:rsid w:val="12DA0C17"/>
    <w:rsid w:val="1A035F42"/>
    <w:rsid w:val="1CFB154C"/>
    <w:rsid w:val="343D722E"/>
    <w:rsid w:val="3C202DEA"/>
    <w:rsid w:val="41F70091"/>
    <w:rsid w:val="42CB64E0"/>
    <w:rsid w:val="5DE91CC3"/>
    <w:rsid w:val="6C540680"/>
    <w:rsid w:val="6E3678B6"/>
    <w:rsid w:val="6FD73D13"/>
    <w:rsid w:val="A6FB80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firstLine="624"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sz-prst-tbody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12435</Words>
  <Characters>13525</Characters>
  <Lines>0</Lines>
  <Paragraphs>0</Paragraphs>
  <TotalTime>37</TotalTime>
  <ScaleCrop>false</ScaleCrop>
  <LinksUpToDate>false</LinksUpToDate>
  <CharactersWithSpaces>13669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2023-01-29T08:56:00Z</dcterms:created>
  <dc:creator>admin</dc:creator>
  <cp:lastModifiedBy>greatwall</cp:lastModifiedBy>
  <dcterms:modified xsi:type="dcterms:W3CDTF">2024-07-04T08:30:45Z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2AB97DC9C8784D0799FA718D9CBE5C5C</vt:lpwstr>
  </property>
</Properties>
</file>