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47D27">
      <w:pPr>
        <w:snapToGrid w:val="0"/>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黄石市</w:t>
      </w:r>
      <w:bookmarkStart w:id="0" w:name="_GoBack"/>
      <w:bookmarkEnd w:id="0"/>
      <w:r>
        <w:rPr>
          <w:rFonts w:hint="eastAsia" w:ascii="Times New Roman" w:hAnsi="Times New Roman" w:eastAsia="方正小标宋简体" w:cs="方正仿宋简体"/>
          <w:color w:val="000000"/>
          <w:sz w:val="32"/>
          <w:szCs w:val="32"/>
          <w:lang w:val="en-US" w:eastAsia="zh-CN"/>
        </w:rPr>
        <w:t>逃生缓降器产品质量监督抽查实施细则</w:t>
      </w:r>
    </w:p>
    <w:p w14:paraId="322DAAA0">
      <w:pPr>
        <w:snapToGrid w:val="0"/>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（2024年版）</w:t>
      </w:r>
    </w:p>
    <w:p w14:paraId="3014B0EE">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1   抽样方法</w:t>
      </w:r>
    </w:p>
    <w:p w14:paraId="575873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以随机抽样的方式在被抽样生产者、销售者的待销产品中抽取。</w:t>
      </w:r>
    </w:p>
    <w:p w14:paraId="3631FB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随机数一般可使用随机数表等方式产生。</w:t>
      </w:r>
    </w:p>
    <w:p w14:paraId="248164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每批次产品抽样数量见表A。</w:t>
      </w:r>
    </w:p>
    <w:p w14:paraId="3798FB15">
      <w:pPr>
        <w:spacing w:line="360" w:lineRule="auto"/>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表A  产品抽样表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2697"/>
        <w:gridCol w:w="1704"/>
        <w:gridCol w:w="1705"/>
        <w:gridCol w:w="1705"/>
      </w:tblGrid>
      <w:tr w14:paraId="2CF1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504E393A">
            <w:pPr>
              <w:spacing w:line="360" w:lineRule="auto"/>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序号</w:t>
            </w:r>
          </w:p>
        </w:tc>
        <w:tc>
          <w:tcPr>
            <w:tcW w:w="2697" w:type="dxa"/>
            <w:noWrap w:val="0"/>
            <w:vAlign w:val="top"/>
          </w:tcPr>
          <w:p w14:paraId="0FBDDF27">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产品名称</w:t>
            </w:r>
          </w:p>
        </w:tc>
        <w:tc>
          <w:tcPr>
            <w:tcW w:w="1704" w:type="dxa"/>
            <w:noWrap w:val="0"/>
            <w:vAlign w:val="top"/>
          </w:tcPr>
          <w:p w14:paraId="30269F83">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抽样数量</w:t>
            </w:r>
          </w:p>
        </w:tc>
        <w:tc>
          <w:tcPr>
            <w:tcW w:w="1705" w:type="dxa"/>
            <w:noWrap w:val="0"/>
            <w:vAlign w:val="top"/>
          </w:tcPr>
          <w:p w14:paraId="4C94F78F">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检验样品数量</w:t>
            </w:r>
          </w:p>
        </w:tc>
        <w:tc>
          <w:tcPr>
            <w:tcW w:w="1705" w:type="dxa"/>
            <w:noWrap w:val="0"/>
            <w:vAlign w:val="top"/>
          </w:tcPr>
          <w:p w14:paraId="5BC7DA30">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备用样品数量</w:t>
            </w:r>
          </w:p>
        </w:tc>
      </w:tr>
      <w:tr w14:paraId="7055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113D07EE">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w:t>
            </w:r>
          </w:p>
        </w:tc>
        <w:tc>
          <w:tcPr>
            <w:tcW w:w="2697" w:type="dxa"/>
            <w:noWrap w:val="0"/>
            <w:vAlign w:val="top"/>
          </w:tcPr>
          <w:p w14:paraId="465A9FCD">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逃生缓降器</w:t>
            </w:r>
          </w:p>
        </w:tc>
        <w:tc>
          <w:tcPr>
            <w:tcW w:w="1704" w:type="dxa"/>
            <w:noWrap w:val="0"/>
            <w:vAlign w:val="top"/>
          </w:tcPr>
          <w:p w14:paraId="3DA6880A">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2个</w:t>
            </w:r>
          </w:p>
        </w:tc>
        <w:tc>
          <w:tcPr>
            <w:tcW w:w="1705" w:type="dxa"/>
            <w:noWrap w:val="0"/>
            <w:vAlign w:val="top"/>
          </w:tcPr>
          <w:p w14:paraId="1C489309">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1个为一份</w:t>
            </w:r>
          </w:p>
        </w:tc>
        <w:tc>
          <w:tcPr>
            <w:tcW w:w="1705" w:type="dxa"/>
            <w:noWrap w:val="0"/>
            <w:vAlign w:val="top"/>
          </w:tcPr>
          <w:p w14:paraId="7726D68D">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1个为一份</w:t>
            </w:r>
          </w:p>
        </w:tc>
      </w:tr>
    </w:tbl>
    <w:p w14:paraId="106A6BED">
      <w:pPr>
        <w:spacing w:line="360" w:lineRule="auto"/>
        <w:rPr>
          <w:rFonts w:hint="default" w:ascii="Times New Roman" w:hAnsi="Times New Roman" w:eastAsia="宋体" w:cs="Times New Roman"/>
          <w:b w:val="0"/>
          <w:bCs w:val="0"/>
          <w:color w:val="000000"/>
          <w:sz w:val="21"/>
          <w:szCs w:val="21"/>
          <w:lang w:val="en-US" w:eastAsia="zh-CN"/>
        </w:rPr>
      </w:pPr>
    </w:p>
    <w:p w14:paraId="4FE1906D">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2   检验依据</w:t>
      </w:r>
    </w:p>
    <w:p w14:paraId="02F71E10">
      <w:pPr>
        <w:spacing w:line="360" w:lineRule="auto"/>
        <w:ind w:firstLine="420" w:firstLineChars="200"/>
        <w:rPr>
          <w:rFonts w:hint="eastAsia" w:ascii="Times New Roman" w:hAnsi="Times New Roman" w:eastAsia="宋体" w:cs="Times New Roman"/>
          <w:b w:val="0"/>
          <w:bCs w:val="0"/>
          <w:color w:val="000000"/>
          <w:sz w:val="21"/>
          <w:szCs w:val="21"/>
        </w:rPr>
      </w:pPr>
    </w:p>
    <w:p w14:paraId="0C732B5F">
      <w:pPr>
        <w:snapToGrid w:val="0"/>
        <w:spacing w:line="440" w:lineRule="exact"/>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表</w:t>
      </w:r>
      <w:r>
        <w:rPr>
          <w:rFonts w:hint="eastAsia" w:ascii="Times New Roman" w:hAnsi="Times New Roman" w:eastAsia="宋体" w:cs="Times New Roman"/>
          <w:b w:val="0"/>
          <w:bCs w:val="0"/>
          <w:color w:val="000000"/>
          <w:sz w:val="21"/>
          <w:szCs w:val="21"/>
          <w:lang w:val="en-US" w:eastAsia="zh-CN"/>
        </w:rPr>
        <w:t>1</w:t>
      </w:r>
      <w:r>
        <w:rPr>
          <w:rFonts w:hint="eastAsia" w:ascii="Times New Roman" w:hAnsi="Times New Roman" w:eastAsia="宋体" w:cs="Times New Roman"/>
          <w:b w:val="0"/>
          <w:bCs w:val="0"/>
          <w:color w:val="000000"/>
          <w:sz w:val="21"/>
          <w:szCs w:val="21"/>
        </w:rPr>
        <w:t xml:space="preserve">  </w:t>
      </w:r>
      <w:r>
        <w:rPr>
          <w:rFonts w:hint="eastAsia" w:ascii="Times New Roman" w:hAnsi="Times New Roman" w:eastAsia="宋体" w:cs="Times New Roman"/>
          <w:b w:val="0"/>
          <w:bCs w:val="0"/>
          <w:color w:val="000000"/>
          <w:sz w:val="21"/>
          <w:szCs w:val="21"/>
          <w:lang w:eastAsia="zh-CN"/>
        </w:rPr>
        <w:t>逃生缓降器检验项目</w:t>
      </w:r>
    </w:p>
    <w:tbl>
      <w:tblPr>
        <w:tblStyle w:val="7"/>
        <w:tblW w:w="7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42"/>
        <w:gridCol w:w="2541"/>
        <w:gridCol w:w="2042"/>
      </w:tblGrid>
      <w:tr w14:paraId="1BCB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40" w:type="dxa"/>
            <w:vMerge w:val="restart"/>
            <w:noWrap w:val="0"/>
            <w:vAlign w:val="center"/>
          </w:tcPr>
          <w:p w14:paraId="7CE80E8C">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序号</w:t>
            </w:r>
          </w:p>
        </w:tc>
        <w:tc>
          <w:tcPr>
            <w:tcW w:w="1642" w:type="dxa"/>
            <w:vMerge w:val="restart"/>
            <w:noWrap w:val="0"/>
            <w:vAlign w:val="center"/>
          </w:tcPr>
          <w:p w14:paraId="6968234B">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检验项目</w:t>
            </w:r>
          </w:p>
        </w:tc>
        <w:tc>
          <w:tcPr>
            <w:tcW w:w="2541" w:type="dxa"/>
            <w:vMerge w:val="restart"/>
            <w:noWrap w:val="0"/>
            <w:vAlign w:val="center"/>
          </w:tcPr>
          <w:p w14:paraId="247F5F6A">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依据标准</w:t>
            </w:r>
          </w:p>
        </w:tc>
        <w:tc>
          <w:tcPr>
            <w:tcW w:w="2042" w:type="dxa"/>
            <w:vMerge w:val="restart"/>
            <w:noWrap w:val="0"/>
            <w:vAlign w:val="center"/>
          </w:tcPr>
          <w:p w14:paraId="3B85B900">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检验方法</w:t>
            </w:r>
          </w:p>
        </w:tc>
      </w:tr>
      <w:tr w14:paraId="574C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0" w:type="dxa"/>
            <w:vMerge w:val="continue"/>
            <w:noWrap w:val="0"/>
            <w:vAlign w:val="center"/>
          </w:tcPr>
          <w:p w14:paraId="5BF80654">
            <w:pPr>
              <w:widowControl/>
              <w:jc w:val="left"/>
              <w:rPr>
                <w:rFonts w:ascii="Times New Roman" w:hAnsi="Times New Roman" w:eastAsia="宋体" w:cs="Times New Roman"/>
                <w:b w:val="0"/>
                <w:bCs w:val="0"/>
                <w:color w:val="000000"/>
                <w:kern w:val="0"/>
                <w:sz w:val="21"/>
                <w:szCs w:val="21"/>
              </w:rPr>
            </w:pPr>
          </w:p>
        </w:tc>
        <w:tc>
          <w:tcPr>
            <w:tcW w:w="1642" w:type="dxa"/>
            <w:vMerge w:val="continue"/>
            <w:noWrap w:val="0"/>
            <w:vAlign w:val="center"/>
          </w:tcPr>
          <w:p w14:paraId="4F9080DD">
            <w:pPr>
              <w:widowControl/>
              <w:jc w:val="left"/>
              <w:rPr>
                <w:rFonts w:ascii="Times New Roman" w:hAnsi="Times New Roman" w:eastAsia="宋体" w:cs="Times New Roman"/>
                <w:b w:val="0"/>
                <w:bCs w:val="0"/>
                <w:color w:val="000000"/>
                <w:kern w:val="0"/>
                <w:sz w:val="21"/>
                <w:szCs w:val="21"/>
              </w:rPr>
            </w:pPr>
          </w:p>
        </w:tc>
        <w:tc>
          <w:tcPr>
            <w:tcW w:w="2541" w:type="dxa"/>
            <w:vMerge w:val="continue"/>
            <w:noWrap w:val="0"/>
            <w:vAlign w:val="center"/>
          </w:tcPr>
          <w:p w14:paraId="0A270D04">
            <w:pPr>
              <w:widowControl/>
              <w:jc w:val="left"/>
              <w:rPr>
                <w:rFonts w:ascii="Times New Roman" w:hAnsi="Times New Roman" w:eastAsia="宋体" w:cs="Times New Roman"/>
                <w:b w:val="0"/>
                <w:bCs w:val="0"/>
                <w:color w:val="000000"/>
                <w:kern w:val="0"/>
                <w:sz w:val="21"/>
                <w:szCs w:val="21"/>
              </w:rPr>
            </w:pPr>
          </w:p>
        </w:tc>
        <w:tc>
          <w:tcPr>
            <w:tcW w:w="2042" w:type="dxa"/>
            <w:vMerge w:val="continue"/>
            <w:noWrap w:val="0"/>
            <w:vAlign w:val="center"/>
          </w:tcPr>
          <w:p w14:paraId="59E3890E">
            <w:pPr>
              <w:widowControl/>
              <w:jc w:val="left"/>
              <w:rPr>
                <w:rFonts w:ascii="Times New Roman" w:hAnsi="Times New Roman" w:eastAsia="宋体" w:cs="Times New Roman"/>
                <w:b w:val="0"/>
                <w:bCs w:val="0"/>
                <w:color w:val="000000"/>
                <w:kern w:val="0"/>
                <w:sz w:val="21"/>
                <w:szCs w:val="21"/>
              </w:rPr>
            </w:pPr>
          </w:p>
        </w:tc>
      </w:tr>
      <w:tr w14:paraId="76A6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1B8CF5B5">
            <w:pPr>
              <w:snapToGrid w:val="0"/>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1</w:t>
            </w:r>
          </w:p>
        </w:tc>
        <w:tc>
          <w:tcPr>
            <w:tcW w:w="1642" w:type="dxa"/>
            <w:noWrap w:val="0"/>
            <w:vAlign w:val="center"/>
          </w:tcPr>
          <w:p w14:paraId="4D8DCD6E">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外观质量</w:t>
            </w:r>
          </w:p>
        </w:tc>
        <w:tc>
          <w:tcPr>
            <w:tcW w:w="2541" w:type="dxa"/>
            <w:noWrap w:val="0"/>
            <w:vAlign w:val="center"/>
          </w:tcPr>
          <w:p w14:paraId="4CA6C916">
            <w:pPr>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21976.2-2012</w:t>
            </w:r>
          </w:p>
        </w:tc>
        <w:tc>
          <w:tcPr>
            <w:tcW w:w="2042" w:type="dxa"/>
            <w:noWrap w:val="0"/>
            <w:vAlign w:val="center"/>
          </w:tcPr>
          <w:p w14:paraId="06DE9AE8">
            <w:pPr>
              <w:jc w:val="center"/>
              <w:rPr>
                <w:rFonts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21976.2-2012</w:t>
            </w:r>
          </w:p>
        </w:tc>
      </w:tr>
      <w:tr w14:paraId="73C2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0C848E3A">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2</w:t>
            </w:r>
          </w:p>
        </w:tc>
        <w:tc>
          <w:tcPr>
            <w:tcW w:w="1642" w:type="dxa"/>
            <w:noWrap w:val="0"/>
            <w:vAlign w:val="center"/>
          </w:tcPr>
          <w:p w14:paraId="06BD6921">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主要部件结构、尺寸及材质要求</w:t>
            </w:r>
          </w:p>
        </w:tc>
        <w:tc>
          <w:tcPr>
            <w:tcW w:w="2541" w:type="dxa"/>
            <w:noWrap w:val="0"/>
            <w:vAlign w:val="center"/>
          </w:tcPr>
          <w:p w14:paraId="5611B261">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21976.2-2012</w:t>
            </w:r>
          </w:p>
        </w:tc>
        <w:tc>
          <w:tcPr>
            <w:tcW w:w="2042" w:type="dxa"/>
            <w:noWrap w:val="0"/>
            <w:vAlign w:val="center"/>
          </w:tcPr>
          <w:p w14:paraId="314C2E11">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21976.2-2012</w:t>
            </w:r>
          </w:p>
        </w:tc>
      </w:tr>
      <w:tr w14:paraId="06D2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0D42FDC1">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3</w:t>
            </w:r>
          </w:p>
        </w:tc>
        <w:tc>
          <w:tcPr>
            <w:tcW w:w="1642" w:type="dxa"/>
            <w:noWrap w:val="0"/>
            <w:vAlign w:val="center"/>
          </w:tcPr>
          <w:p w14:paraId="343A7000">
            <w:pPr>
              <w:snapToGrid w:val="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强度</w:t>
            </w:r>
          </w:p>
        </w:tc>
        <w:tc>
          <w:tcPr>
            <w:tcW w:w="2541" w:type="dxa"/>
            <w:noWrap w:val="0"/>
            <w:vAlign w:val="center"/>
          </w:tcPr>
          <w:p w14:paraId="6E2B74CE">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21976.2-2012</w:t>
            </w:r>
          </w:p>
        </w:tc>
        <w:tc>
          <w:tcPr>
            <w:tcW w:w="2042" w:type="dxa"/>
            <w:noWrap w:val="0"/>
            <w:vAlign w:val="center"/>
          </w:tcPr>
          <w:p w14:paraId="4EEAF9C2">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21976.2-2012</w:t>
            </w:r>
          </w:p>
        </w:tc>
      </w:tr>
      <w:tr w14:paraId="6937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7BC25879">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4</w:t>
            </w:r>
          </w:p>
        </w:tc>
        <w:tc>
          <w:tcPr>
            <w:tcW w:w="1642" w:type="dxa"/>
            <w:noWrap w:val="0"/>
            <w:vAlign w:val="center"/>
          </w:tcPr>
          <w:p w14:paraId="0CD9A7E7">
            <w:pPr>
              <w:snapToGrid w:val="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下降速度</w:t>
            </w:r>
          </w:p>
        </w:tc>
        <w:tc>
          <w:tcPr>
            <w:tcW w:w="2541" w:type="dxa"/>
            <w:noWrap w:val="0"/>
            <w:vAlign w:val="center"/>
          </w:tcPr>
          <w:p w14:paraId="2EA21633">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21976.2-2012</w:t>
            </w:r>
          </w:p>
        </w:tc>
        <w:tc>
          <w:tcPr>
            <w:tcW w:w="2042" w:type="dxa"/>
            <w:noWrap w:val="0"/>
            <w:vAlign w:val="center"/>
          </w:tcPr>
          <w:p w14:paraId="4BE30468">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21976.2-2012</w:t>
            </w:r>
          </w:p>
        </w:tc>
      </w:tr>
      <w:tr w14:paraId="1749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3BAF6157">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5</w:t>
            </w:r>
          </w:p>
        </w:tc>
        <w:tc>
          <w:tcPr>
            <w:tcW w:w="1642" w:type="dxa"/>
            <w:noWrap w:val="0"/>
            <w:vAlign w:val="center"/>
          </w:tcPr>
          <w:p w14:paraId="6FFFAE49">
            <w:pPr>
              <w:snapToGrid w:val="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抗跌落性能</w:t>
            </w:r>
          </w:p>
        </w:tc>
        <w:tc>
          <w:tcPr>
            <w:tcW w:w="2541" w:type="dxa"/>
            <w:noWrap w:val="0"/>
            <w:vAlign w:val="center"/>
          </w:tcPr>
          <w:p w14:paraId="7EA86B69">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21976.2-2012</w:t>
            </w:r>
          </w:p>
        </w:tc>
        <w:tc>
          <w:tcPr>
            <w:tcW w:w="2042" w:type="dxa"/>
            <w:noWrap w:val="0"/>
            <w:vAlign w:val="center"/>
          </w:tcPr>
          <w:p w14:paraId="73170FDE">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21976.2-2012</w:t>
            </w:r>
          </w:p>
        </w:tc>
      </w:tr>
      <w:tr w14:paraId="541D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3592E616">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6</w:t>
            </w:r>
          </w:p>
        </w:tc>
        <w:tc>
          <w:tcPr>
            <w:tcW w:w="1642" w:type="dxa"/>
            <w:noWrap w:val="0"/>
            <w:vAlign w:val="center"/>
          </w:tcPr>
          <w:p w14:paraId="473A367D">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抗冲击性能</w:t>
            </w:r>
          </w:p>
        </w:tc>
        <w:tc>
          <w:tcPr>
            <w:tcW w:w="2541" w:type="dxa"/>
            <w:noWrap w:val="0"/>
            <w:vAlign w:val="center"/>
          </w:tcPr>
          <w:p w14:paraId="3613A780">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21976.2-2012</w:t>
            </w:r>
          </w:p>
        </w:tc>
        <w:tc>
          <w:tcPr>
            <w:tcW w:w="2042" w:type="dxa"/>
            <w:noWrap w:val="0"/>
            <w:vAlign w:val="center"/>
          </w:tcPr>
          <w:p w14:paraId="34B96667">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21976.2-2012</w:t>
            </w:r>
          </w:p>
        </w:tc>
      </w:tr>
      <w:tr w14:paraId="23E4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4C5F5242">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7</w:t>
            </w:r>
          </w:p>
        </w:tc>
        <w:tc>
          <w:tcPr>
            <w:tcW w:w="1642" w:type="dxa"/>
            <w:noWrap w:val="0"/>
            <w:vAlign w:val="center"/>
          </w:tcPr>
          <w:p w14:paraId="24A012EC">
            <w:pPr>
              <w:snapToGrid w:val="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标志</w:t>
            </w:r>
          </w:p>
        </w:tc>
        <w:tc>
          <w:tcPr>
            <w:tcW w:w="2541" w:type="dxa"/>
            <w:noWrap w:val="0"/>
            <w:vAlign w:val="center"/>
          </w:tcPr>
          <w:p w14:paraId="41960FF9">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21976.2-2012</w:t>
            </w:r>
          </w:p>
        </w:tc>
        <w:tc>
          <w:tcPr>
            <w:tcW w:w="2042" w:type="dxa"/>
            <w:noWrap w:val="0"/>
            <w:vAlign w:val="center"/>
          </w:tcPr>
          <w:p w14:paraId="07A32D89">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21976.2-2012</w:t>
            </w:r>
          </w:p>
        </w:tc>
      </w:tr>
    </w:tbl>
    <w:p w14:paraId="3CC012B0">
      <w:pPr>
        <w:spacing w:line="360" w:lineRule="auto"/>
        <w:ind w:firstLine="420" w:firstLineChars="200"/>
        <w:rPr>
          <w:rFonts w:hint="eastAsia" w:ascii="Times New Roman" w:hAnsi="Times New Roman" w:eastAsia="宋体" w:cs="Times New Roman"/>
          <w:b w:val="0"/>
          <w:bCs w:val="0"/>
          <w:color w:val="000000"/>
          <w:sz w:val="21"/>
          <w:szCs w:val="21"/>
        </w:rPr>
      </w:pPr>
    </w:p>
    <w:p w14:paraId="13AF8FAF">
      <w:pPr>
        <w:spacing w:line="360" w:lineRule="auto"/>
        <w:ind w:firstLine="420" w:firstLineChars="200"/>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执行企业标准、团体标准、地方标准的产品，检验项目参照上述内容执行。</w:t>
      </w:r>
    </w:p>
    <w:p w14:paraId="579EB7D1">
      <w:pPr>
        <w:spacing w:line="360" w:lineRule="auto"/>
        <w:ind w:firstLine="420" w:firstLineChars="200"/>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凡是注日期的文件，其随后所有的修改单（不包括勘误的内容）或修订版不适用于本细则。凡是不注日期的文件，其最新版本适用于本细则。</w:t>
      </w:r>
    </w:p>
    <w:p w14:paraId="11591F95">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3  判定规则</w:t>
      </w:r>
    </w:p>
    <w:p w14:paraId="1392E2CE">
      <w:pPr>
        <w:adjustRightInd w:val="0"/>
        <w:snapToGrid w:val="0"/>
        <w:spacing w:line="360" w:lineRule="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rPr>
        <w:t>3.1 判定依据：</w:t>
      </w:r>
      <w:r>
        <w:rPr>
          <w:rFonts w:hint="eastAsia" w:ascii="Times New Roman" w:hAnsi="Times New Roman" w:eastAsia="宋体" w:cs="Times New Roman"/>
          <w:b w:val="0"/>
          <w:bCs w:val="0"/>
          <w:color w:val="000000"/>
          <w:sz w:val="21"/>
          <w:szCs w:val="21"/>
          <w:lang w:val="en-US" w:eastAsia="zh-CN"/>
        </w:rPr>
        <w:t>GB 21976.2-2012《建筑火灾逃生避难器材 第2部分：逃生缓降器》。</w:t>
      </w:r>
    </w:p>
    <w:p w14:paraId="12A3EB60">
      <w:pPr>
        <w:spacing w:line="360" w:lineRule="auto"/>
        <w:ind w:firstLine="420" w:firstLineChars="200"/>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现行有效的企业标准、团体标准、地方标准及产品明示质量要求。</w:t>
      </w:r>
    </w:p>
    <w:p w14:paraId="63AAF287">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3.2 判定</w:t>
      </w:r>
      <w:r>
        <w:rPr>
          <w:rFonts w:hint="eastAsia" w:ascii="Times New Roman" w:hAnsi="Times New Roman" w:eastAsia="宋体" w:cs="Times New Roman"/>
          <w:b w:val="0"/>
          <w:bCs w:val="0"/>
          <w:color w:val="000000"/>
          <w:sz w:val="21"/>
          <w:szCs w:val="21"/>
          <w:lang w:eastAsia="zh-CN"/>
        </w:rPr>
        <w:t>原则</w:t>
      </w:r>
      <w:r>
        <w:rPr>
          <w:rFonts w:hint="eastAsia" w:ascii="Times New Roman" w:hAnsi="Times New Roman" w:eastAsia="宋体" w:cs="Times New Roman"/>
          <w:b w:val="0"/>
          <w:bCs w:val="0"/>
          <w:color w:val="000000"/>
          <w:sz w:val="21"/>
          <w:szCs w:val="21"/>
        </w:rPr>
        <w:t>：经检验，</w:t>
      </w:r>
      <w:r>
        <w:rPr>
          <w:rFonts w:hint="eastAsia" w:ascii="Times New Roman" w:hAnsi="Times New Roman" w:eastAsia="宋体" w:cs="Times New Roman"/>
          <w:b w:val="0"/>
          <w:bCs w:val="0"/>
          <w:color w:val="000000"/>
          <w:sz w:val="21"/>
          <w:szCs w:val="21"/>
          <w:lang w:eastAsia="zh-CN"/>
        </w:rPr>
        <w:t>检验项目全部</w:t>
      </w:r>
      <w:r>
        <w:rPr>
          <w:rFonts w:hint="eastAsia" w:ascii="Times New Roman" w:hAnsi="Times New Roman" w:eastAsia="宋体" w:cs="Times New Roman"/>
          <w:b w:val="0"/>
          <w:bCs w:val="0"/>
          <w:color w:val="000000"/>
          <w:sz w:val="21"/>
          <w:szCs w:val="21"/>
        </w:rPr>
        <w:t>合格，判定为被抽查产品</w:t>
      </w:r>
      <w:r>
        <w:rPr>
          <w:rFonts w:hint="eastAsia" w:ascii="Times New Roman" w:hAnsi="Times New Roman" w:eastAsia="宋体" w:cs="Times New Roman"/>
          <w:b w:val="0"/>
          <w:bCs w:val="0"/>
          <w:color w:val="000000"/>
          <w:sz w:val="21"/>
          <w:szCs w:val="21"/>
          <w:lang w:eastAsia="zh-CN"/>
        </w:rPr>
        <w:t>所检项目未发现不合格</w:t>
      </w:r>
      <w:r>
        <w:rPr>
          <w:rFonts w:hint="eastAsia" w:ascii="Times New Roman" w:hAnsi="Times New Roman" w:eastAsia="宋体" w:cs="Times New Roman"/>
          <w:b w:val="0"/>
          <w:bCs w:val="0"/>
          <w:color w:val="000000"/>
          <w:sz w:val="21"/>
          <w:szCs w:val="21"/>
        </w:rPr>
        <w:t>；</w:t>
      </w:r>
      <w:r>
        <w:rPr>
          <w:rFonts w:hint="eastAsia" w:ascii="Times New Roman" w:hAnsi="Times New Roman" w:eastAsia="宋体" w:cs="Times New Roman"/>
          <w:b w:val="0"/>
          <w:bCs w:val="0"/>
          <w:color w:val="000000"/>
          <w:sz w:val="21"/>
          <w:szCs w:val="21"/>
          <w:lang w:eastAsia="zh-CN"/>
        </w:rPr>
        <w:t>检验项目中任一项或一项以上</w:t>
      </w:r>
      <w:r>
        <w:rPr>
          <w:rFonts w:hint="eastAsia" w:ascii="Times New Roman" w:hAnsi="Times New Roman" w:eastAsia="宋体" w:cs="Times New Roman"/>
          <w:b w:val="0"/>
          <w:bCs w:val="0"/>
          <w:color w:val="000000"/>
          <w:sz w:val="21"/>
          <w:szCs w:val="21"/>
        </w:rPr>
        <w:t>不合格，判定为被抽查样品不合格。</w:t>
      </w:r>
    </w:p>
    <w:p w14:paraId="1B243A70">
      <w:pPr>
        <w:spacing w:line="360" w:lineRule="auto"/>
        <w:rPr>
          <w:rFonts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3.3 检验应注意的问题</w:t>
      </w:r>
    </w:p>
    <w:p w14:paraId="67F0AE2F">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性能试验过程中若由于产品本身的质量问题导致样品失效，则试验终止，样品按不合格判定。</w:t>
      </w:r>
    </w:p>
    <w:p w14:paraId="4CFE0B31">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如遇样品封样状态破坏问题、样品异常损坏问题，应及时与抽样人员联系，了解样品抽样时的状况，如有必要，应退回异常样品，并进行重新抽样。</w:t>
      </w:r>
    </w:p>
    <w:p w14:paraId="5C2AAEC6">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破坏性试验，试验后，试验样品损毁消耗</w:t>
      </w:r>
      <w:r>
        <w:rPr>
          <w:rFonts w:hint="eastAsia" w:ascii="Times New Roman" w:hAnsi="Times New Roman" w:eastAsia="宋体" w:cs="Times New Roman"/>
          <w:b w:val="0"/>
          <w:bCs w:val="0"/>
          <w:color w:val="000000"/>
          <w:sz w:val="21"/>
          <w:szCs w:val="21"/>
          <w:lang w:eastAsia="zh-CN"/>
        </w:rPr>
        <w:t>的产品</w:t>
      </w:r>
      <w:r>
        <w:rPr>
          <w:rFonts w:hint="eastAsia" w:ascii="Times New Roman" w:hAnsi="Times New Roman" w:eastAsia="宋体" w:cs="Times New Roman"/>
          <w:b w:val="0"/>
          <w:bCs w:val="0"/>
          <w:color w:val="000000"/>
          <w:sz w:val="21"/>
          <w:szCs w:val="21"/>
        </w:rPr>
        <w:t>仅对备样进行保存。保存期限为6个月。</w:t>
      </w:r>
    </w:p>
    <w:p w14:paraId="656983A0">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若被检产品明示的质量要求高于本细则中检验项目依据的标准要求时，应按被检产品明示的质量要求判定。</w:t>
      </w:r>
    </w:p>
    <w:p w14:paraId="438915D2">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w:t>
      </w:r>
      <w:r>
        <w:rPr>
          <w:rFonts w:hint="eastAsia" w:ascii="Times New Roman" w:hAnsi="Times New Roman" w:eastAsia="宋体" w:cs="Times New Roman"/>
          <w:b w:val="0"/>
          <w:bCs w:val="0"/>
          <w:color w:val="000000"/>
          <w:sz w:val="21"/>
          <w:szCs w:val="21"/>
          <w:lang w:eastAsia="zh-CN"/>
        </w:rPr>
        <w:t>产品</w:t>
      </w:r>
      <w:r>
        <w:rPr>
          <w:rFonts w:hint="eastAsia" w:ascii="Times New Roman" w:hAnsi="Times New Roman" w:eastAsia="宋体" w:cs="Times New Roman"/>
          <w:b w:val="0"/>
          <w:bCs w:val="0"/>
          <w:color w:val="000000"/>
          <w:sz w:val="21"/>
          <w:szCs w:val="21"/>
        </w:rPr>
        <w:t>明示的质量要求低于本细则中检验项目依据的强制性标志要求时，应按在强制性标志要求判定。</w:t>
      </w:r>
    </w:p>
    <w:p w14:paraId="3C15D9F6">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若被检产品明示的质量要求低于或包含细则中检验项目依据的推荐性标准要求时，应以被检产品明示的质量要求判定。</w:t>
      </w:r>
    </w:p>
    <w:p w14:paraId="60EF73FC">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若被检产品明示的质量要求缺少本细则中检验项目依据的强制性标准要求时，应按照强制性标准要求判定。</w:t>
      </w:r>
    </w:p>
    <w:p w14:paraId="35016F8B">
      <w:pPr>
        <w:spacing w:line="360" w:lineRule="auto"/>
        <w:ind w:firstLine="420" w:firstLineChars="200"/>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color w:val="000000"/>
          <w:sz w:val="21"/>
          <w:szCs w:val="21"/>
        </w:rPr>
        <w:t>若被检产品明示的质量要求缺少本细则中检验项目依据的推荐性标准要求时，该项目不参与判定，但应在检验报告备注中进行说明。</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63359">
    <w:pPr>
      <w:pStyle w:val="4"/>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D9D458E">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NhYWJmYzVjYmMyMWEwZmMwOTI0OWM4YmI3NGI1ZjkifQ=="/>
  </w:docVars>
  <w:rsids>
    <w:rsidRoot w:val="006824A8"/>
    <w:rsid w:val="00040D37"/>
    <w:rsid w:val="000A12E7"/>
    <w:rsid w:val="00141337"/>
    <w:rsid w:val="002020BB"/>
    <w:rsid w:val="002470DE"/>
    <w:rsid w:val="002F7BE2"/>
    <w:rsid w:val="00492DA6"/>
    <w:rsid w:val="004C06EA"/>
    <w:rsid w:val="004F34C6"/>
    <w:rsid w:val="005343AB"/>
    <w:rsid w:val="00562092"/>
    <w:rsid w:val="005F33A4"/>
    <w:rsid w:val="0062177C"/>
    <w:rsid w:val="006554F4"/>
    <w:rsid w:val="006630F7"/>
    <w:rsid w:val="006824A8"/>
    <w:rsid w:val="007C2479"/>
    <w:rsid w:val="00876445"/>
    <w:rsid w:val="00893BF6"/>
    <w:rsid w:val="00AA7AB3"/>
    <w:rsid w:val="00AB3DD4"/>
    <w:rsid w:val="00E01072"/>
    <w:rsid w:val="00F36998"/>
    <w:rsid w:val="00FC44C4"/>
    <w:rsid w:val="04003524"/>
    <w:rsid w:val="05293CC1"/>
    <w:rsid w:val="059408AE"/>
    <w:rsid w:val="072D0DAD"/>
    <w:rsid w:val="0A6E61A7"/>
    <w:rsid w:val="119972A9"/>
    <w:rsid w:val="121D5EBC"/>
    <w:rsid w:val="124D097B"/>
    <w:rsid w:val="12796DA1"/>
    <w:rsid w:val="13EE4485"/>
    <w:rsid w:val="18E64E50"/>
    <w:rsid w:val="1A675C3E"/>
    <w:rsid w:val="285F2D5E"/>
    <w:rsid w:val="2CB05722"/>
    <w:rsid w:val="30335F21"/>
    <w:rsid w:val="30D440E7"/>
    <w:rsid w:val="36E526E7"/>
    <w:rsid w:val="371D3B20"/>
    <w:rsid w:val="377838C6"/>
    <w:rsid w:val="3AD216C8"/>
    <w:rsid w:val="3DD87077"/>
    <w:rsid w:val="3F727F1A"/>
    <w:rsid w:val="40F94347"/>
    <w:rsid w:val="4368673B"/>
    <w:rsid w:val="43B7530B"/>
    <w:rsid w:val="45633607"/>
    <w:rsid w:val="4BC5037E"/>
    <w:rsid w:val="4BE3345C"/>
    <w:rsid w:val="4CFB09F8"/>
    <w:rsid w:val="5DAB4124"/>
    <w:rsid w:val="5E5D1312"/>
    <w:rsid w:val="5E9D3B6E"/>
    <w:rsid w:val="62567581"/>
    <w:rsid w:val="6D3B47CD"/>
    <w:rsid w:val="6EBF142E"/>
    <w:rsid w:val="712177C8"/>
    <w:rsid w:val="71D50C23"/>
    <w:rsid w:val="726B02B2"/>
    <w:rsid w:val="7D4046D3"/>
    <w:rsid w:val="7EA27483"/>
    <w:rsid w:val="7F5A0F05"/>
    <w:rsid w:val="7F88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qFormat/>
    <w:uiPriority w:val="0"/>
    <w:rPr>
      <w:sz w:val="18"/>
      <w:szCs w:val="18"/>
    </w:rPr>
  </w:style>
  <w:style w:type="paragraph" w:styleId="4">
    <w:name w:val="footer"/>
    <w:basedOn w:val="1"/>
    <w:link w:val="16"/>
    <w:autoRedefine/>
    <w:qFormat/>
    <w:uiPriority w:val="0"/>
    <w:pPr>
      <w:tabs>
        <w:tab w:val="center" w:pos="4153"/>
        <w:tab w:val="right" w:pos="8306"/>
      </w:tabs>
      <w:snapToGrid w:val="0"/>
      <w:jc w:val="left"/>
    </w:pPr>
    <w:rPr>
      <w:sz w:val="18"/>
      <w:szCs w:val="18"/>
    </w:rPr>
  </w:style>
  <w:style w:type="paragraph" w:styleId="5">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line="360" w:lineRule="atLeast"/>
      <w:jc w:val="left"/>
    </w:pPr>
    <w:rPr>
      <w:rFonts w:ascii="宋体" w:hAnsi="宋体"/>
      <w:kern w:val="0"/>
      <w:szCs w:val="21"/>
    </w:rPr>
  </w:style>
  <w:style w:type="table" w:styleId="8">
    <w:name w:val="Table Grid"/>
    <w:basedOn w:val="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_Style 16"/>
    <w:basedOn w:val="1"/>
    <w:next w:val="11"/>
    <w:autoRedefine/>
    <w:qFormat/>
    <w:uiPriority w:val="99"/>
    <w:pPr>
      <w:ind w:firstLine="420" w:firstLineChars="200"/>
    </w:pPr>
    <w:rPr>
      <w:rFonts w:ascii="Calibri" w:hAnsi="Calibri"/>
    </w:rPr>
  </w:style>
  <w:style w:type="paragraph" w:customStyle="1" w:styleId="11">
    <w:name w:val="列表段落"/>
    <w:basedOn w:val="1"/>
    <w:autoRedefine/>
    <w:qFormat/>
    <w:uiPriority w:val="99"/>
    <w:pPr>
      <w:ind w:firstLine="420" w:firstLineChars="200"/>
    </w:pPr>
  </w:style>
  <w:style w:type="paragraph" w:customStyle="1" w:styleId="12">
    <w:name w:val="列出段落1"/>
    <w:basedOn w:val="1"/>
    <w:autoRedefine/>
    <w:qFormat/>
    <w:uiPriority w:val="34"/>
    <w:pPr>
      <w:ind w:firstLine="420" w:firstLineChars="200"/>
    </w:pPr>
  </w:style>
  <w:style w:type="character" w:customStyle="1" w:styleId="13">
    <w:name w:val="fontstyle01"/>
    <w:autoRedefine/>
    <w:qFormat/>
    <w:uiPriority w:val="0"/>
    <w:rPr>
      <w:rFonts w:ascii="黑体" w:hAnsi="宋体" w:eastAsia="黑体" w:cs="黑体"/>
      <w:color w:val="000000"/>
      <w:sz w:val="32"/>
      <w:szCs w:val="32"/>
    </w:rPr>
  </w:style>
  <w:style w:type="character" w:customStyle="1" w:styleId="14">
    <w:name w:val="批注框文本 Char"/>
    <w:basedOn w:val="9"/>
    <w:link w:val="3"/>
    <w:autoRedefine/>
    <w:qFormat/>
    <w:uiPriority w:val="0"/>
    <w:rPr>
      <w:rFonts w:asciiTheme="minorHAnsi" w:hAnsiTheme="minorHAnsi" w:eastAsiaTheme="minorEastAsia" w:cstheme="minorBidi"/>
      <w:kern w:val="2"/>
      <w:sz w:val="18"/>
      <w:szCs w:val="18"/>
    </w:rPr>
  </w:style>
  <w:style w:type="character" w:customStyle="1" w:styleId="15">
    <w:name w:val="页眉 Char"/>
    <w:basedOn w:val="9"/>
    <w:link w:val="5"/>
    <w:autoRedefine/>
    <w:qFormat/>
    <w:uiPriority w:val="0"/>
    <w:rPr>
      <w:rFonts w:asciiTheme="minorHAnsi" w:hAnsiTheme="minorHAnsi" w:eastAsiaTheme="minorEastAsia" w:cstheme="minorBidi"/>
      <w:kern w:val="2"/>
      <w:sz w:val="18"/>
      <w:szCs w:val="18"/>
    </w:rPr>
  </w:style>
  <w:style w:type="character" w:customStyle="1" w:styleId="16">
    <w:name w:val="页脚 Char"/>
    <w:basedOn w:val="9"/>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871</Words>
  <Characters>1063</Characters>
  <Lines>18</Lines>
  <Paragraphs>5</Paragraphs>
  <TotalTime>1</TotalTime>
  <ScaleCrop>false</ScaleCrop>
  <LinksUpToDate>false</LinksUpToDate>
  <CharactersWithSpaces>1094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【山水↹有相逢】</cp:lastModifiedBy>
  <cp:lastPrinted>2021-06-16T06:56:00Z</cp:lastPrinted>
  <dcterms:modified xsi:type="dcterms:W3CDTF">2024-11-06T07:16:33Z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C158E0D96C6142B98294B542FE743F13_12</vt:lpwstr>
  </property>
</Properties>
</file>