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rPr>
      </w:pPr>
      <w:r>
        <w:rPr>
          <w:rFonts w:hint="eastAsia" w:ascii="宋体" w:hAnsi="宋体"/>
          <w:b/>
          <w:bCs/>
          <w:sz w:val="32"/>
          <w:szCs w:val="32"/>
        </w:rPr>
        <w:t>黄石市车用尿素产品质量监督抽查实施细则</w:t>
      </w:r>
    </w:p>
    <w:p>
      <w:pPr>
        <w:jc w:val="center"/>
        <w:rPr>
          <w:rFonts w:ascii="宋体" w:hAnsi="宋体"/>
          <w:b/>
          <w:kern w:val="0"/>
          <w:szCs w:val="20"/>
        </w:rPr>
      </w:pPr>
      <w:r>
        <w:rPr>
          <w:rFonts w:hint="eastAsia" w:ascii="宋体" w:hAnsi="宋体"/>
          <w:b/>
          <w:bCs/>
          <w:sz w:val="32"/>
          <w:szCs w:val="32"/>
          <w:lang w:eastAsia="zh-CN"/>
        </w:rPr>
        <w:t>（</w:t>
      </w:r>
      <w:r>
        <w:rPr>
          <w:rFonts w:hint="eastAsia" w:ascii="宋体" w:hAnsi="宋体"/>
          <w:b/>
          <w:bCs/>
          <w:sz w:val="32"/>
          <w:szCs w:val="32"/>
        </w:rPr>
        <w:t>2024年版）</w:t>
      </w:r>
    </w:p>
    <w:p>
      <w:pPr>
        <w:adjustRightInd w:val="0"/>
        <w:snapToGrid w:val="0"/>
        <w:spacing w:before="120" w:beforeLines="50" w:line="440" w:lineRule="exact"/>
        <w:ind w:left="0"/>
        <w:rPr>
          <w:rFonts w:hint="eastAsia" w:ascii="宋体" w:hAnsi="宋体" w:eastAsia="宋体" w:cs="Times New Roman"/>
          <w:b/>
          <w:sz w:val="24"/>
          <w:szCs w:val="24"/>
        </w:rPr>
      </w:pPr>
      <w:r>
        <w:rPr>
          <w:rFonts w:ascii="宋体" w:hAnsi="宋体"/>
          <w:b/>
          <w:kern w:val="0"/>
          <w:sz w:val="24"/>
          <w:szCs w:val="24"/>
        </w:rPr>
        <w:t xml:space="preserve">1 </w:t>
      </w:r>
      <w:r>
        <w:rPr>
          <w:rFonts w:hint="eastAsia" w:ascii="宋体" w:hAnsi="宋体"/>
          <w:b/>
          <w:kern w:val="0"/>
          <w:sz w:val="24"/>
          <w:szCs w:val="24"/>
        </w:rPr>
        <w:t>抽样</w:t>
      </w:r>
      <w:r>
        <w:rPr>
          <w:rFonts w:hint="eastAsia" w:ascii="宋体" w:hAnsi="宋体" w:eastAsia="宋体" w:cs="Times New Roman"/>
          <w:b/>
          <w:sz w:val="24"/>
          <w:szCs w:val="24"/>
        </w:rPr>
        <w:t xml:space="preserve">方法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以随机抽样的方式在被抽样生产者、销售者的待销产品中抽取。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随机数一般可使用随机数表等方法产生。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每批次产品抽取不少于2L 独立包装样品2份，如产品独立包装大于50L，使用符合GB 29518-2013 《柴油发动机氮氧化物还原剂 尿素水溶液（AUS32）》附录I要求的包装物进行分装取样。其中1份为检验样品，另1份为备用样品。</w:t>
      </w:r>
    </w:p>
    <w:p>
      <w:pPr>
        <w:snapToGrid w:val="0"/>
        <w:spacing w:line="240" w:lineRule="auto"/>
        <w:rPr>
          <w:rFonts w:hint="eastAsia" w:ascii="Times New Roman" w:hAnsi="Times New Roman" w:eastAsia="宋体" w:cs="Times New Roman"/>
          <w:color w:val="000000"/>
          <w:kern w:val="0"/>
          <w:sz w:val="24"/>
          <w:szCs w:val="24"/>
          <w:lang w:val="en-US" w:eastAsia="zh-CN"/>
        </w:rPr>
      </w:pPr>
    </w:p>
    <w:p>
      <w:pPr>
        <w:adjustRightInd w:val="0"/>
        <w:snapToGrid w:val="0"/>
        <w:spacing w:before="120" w:beforeLines="50" w:line="440" w:lineRule="exact"/>
        <w:ind w:left="0"/>
        <w:rPr>
          <w:rFonts w:ascii="宋体" w:hAnsi="宋体"/>
          <w:b/>
          <w:kern w:val="0"/>
          <w:sz w:val="24"/>
          <w:szCs w:val="24"/>
        </w:rPr>
      </w:pPr>
      <w:r>
        <w:rPr>
          <w:rFonts w:hint="eastAsia" w:ascii="宋体" w:hAnsi="宋体"/>
          <w:b/>
          <w:kern w:val="0"/>
          <w:sz w:val="24"/>
          <w:szCs w:val="24"/>
        </w:rPr>
        <w:t xml:space="preserve">2、检验依据 </w:t>
      </w:r>
    </w:p>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表1 车用尿素产品</w:t>
      </w:r>
      <w:r>
        <w:rPr>
          <w:rFonts w:hint="default" w:ascii="Times New Roman" w:hAnsi="Times New Roman" w:eastAsia="宋体" w:cs="Times New Roman"/>
          <w:sz w:val="24"/>
          <w:szCs w:val="24"/>
        </w:rPr>
        <w:t>检验项目</w:t>
      </w:r>
    </w:p>
    <w:tbl>
      <w:tblPr>
        <w:tblStyle w:val="4"/>
        <w:tblW w:w="79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3545"/>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 w:type="dxa"/>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3545" w:type="dxa"/>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检验项目</w:t>
            </w:r>
          </w:p>
        </w:tc>
        <w:tc>
          <w:tcPr>
            <w:tcW w:w="3546" w:type="dxa"/>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检验方法</w:t>
            </w:r>
            <w:r>
              <w:rPr>
                <w:rFonts w:hint="default" w:ascii="Times New Roman" w:hAnsi="Times New Roman" w:eastAsia="宋体" w:cs="Times New Roman"/>
                <w:color w:val="000000"/>
                <w:kern w:val="0"/>
                <w:sz w:val="24"/>
                <w:szCs w:val="24"/>
                <w:lang w:eastAsia="zh-CN" w:bidi="ar"/>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 w:type="dxa"/>
            <w:noWrap/>
            <w:vAlign w:val="center"/>
          </w:tcPr>
          <w:p>
            <w:pPr>
              <w:snapToGrid w:val="0"/>
              <w:spacing w:line="440" w:lineRule="exact"/>
              <w:jc w:val="center"/>
              <w:rPr>
                <w:rFonts w:hint="eastAsia" w:ascii="宋体" w:hAnsi="宋体" w:cs="宋体"/>
                <w:color w:val="000000"/>
                <w:sz w:val="24"/>
              </w:rPr>
            </w:pPr>
            <w:r>
              <w:rPr>
                <w:rFonts w:hint="default" w:ascii="Times New Roman" w:hAnsi="Times New Roman" w:eastAsia="宋体" w:cs="Times New Roman"/>
                <w:sz w:val="24"/>
                <w:szCs w:val="24"/>
              </w:rPr>
              <w:t>1</w:t>
            </w:r>
          </w:p>
        </w:tc>
        <w:tc>
          <w:tcPr>
            <w:tcW w:w="3545" w:type="dxa"/>
            <w:noWrap w:val="0"/>
            <w:vAlign w:val="center"/>
          </w:tcPr>
          <w:p>
            <w:pPr>
              <w:snapToGrid w:val="0"/>
              <w:spacing w:line="440" w:lineRule="exact"/>
              <w:jc w:val="center"/>
              <w:rPr>
                <w:rFonts w:hint="eastAsia" w:ascii="宋体" w:hAnsi="宋体" w:cs="宋体"/>
                <w:color w:val="000000"/>
                <w:sz w:val="24"/>
              </w:rPr>
            </w:pPr>
            <w:r>
              <w:rPr>
                <w:rFonts w:hint="default" w:ascii="Times New Roman" w:hAnsi="Times New Roman" w:eastAsia="宋体" w:cs="Times New Roman"/>
                <w:color w:val="000000"/>
                <w:kern w:val="0"/>
                <w:sz w:val="24"/>
                <w:szCs w:val="24"/>
              </w:rPr>
              <w:t>尿素含量</w:t>
            </w:r>
          </w:p>
        </w:tc>
        <w:tc>
          <w:tcPr>
            <w:tcW w:w="3546" w:type="dxa"/>
            <w:noWrap/>
            <w:vAlign w:val="center"/>
          </w:tcPr>
          <w:p>
            <w:pPr>
              <w:snapToGrid w:val="0"/>
              <w:spacing w:line="440" w:lineRule="exact"/>
              <w:jc w:val="center"/>
              <w:rPr>
                <w:rFonts w:hint="default" w:ascii="宋体" w:hAnsi="宋体" w:eastAsia="宋体" w:cs="宋体"/>
                <w:color w:val="000000"/>
                <w:sz w:val="24"/>
                <w:lang w:val="en-US" w:eastAsia="zh-CN"/>
              </w:rPr>
            </w:pPr>
            <w:r>
              <w:rPr>
                <w:rFonts w:hint="default" w:ascii="Times New Roman" w:hAnsi="Times New Roman" w:eastAsia="宋体" w:cs="Times New Roman"/>
                <w:color w:val="000000"/>
                <w:kern w:val="0"/>
                <w:sz w:val="24"/>
                <w:szCs w:val="24"/>
              </w:rPr>
              <w:t>GB 29518-2013</w:t>
            </w:r>
            <w:r>
              <w:rPr>
                <w:rFonts w:hint="eastAsia" w:ascii="Times New Roman" w:hAnsi="Times New Roman" w:cs="Times New Roman"/>
                <w:color w:val="000000"/>
                <w:kern w:val="0"/>
                <w:sz w:val="24"/>
                <w:szCs w:val="24"/>
                <w:lang w:val="en-US" w:eastAsia="zh-CN"/>
              </w:rPr>
              <w:t xml:space="preserve"> 附录A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 w:type="dxa"/>
            <w:noWrap/>
            <w:vAlign w:val="center"/>
          </w:tcPr>
          <w:p>
            <w:pPr>
              <w:snapToGrid w:val="0"/>
              <w:spacing w:line="440" w:lineRule="exact"/>
              <w:jc w:val="center"/>
              <w:rPr>
                <w:rFonts w:hint="eastAsia" w:ascii="宋体" w:hAnsi="宋体" w:cs="宋体"/>
                <w:color w:val="000000"/>
                <w:sz w:val="24"/>
              </w:rPr>
            </w:pPr>
            <w:r>
              <w:rPr>
                <w:rFonts w:hint="eastAsia" w:ascii="Times New Roman" w:hAnsi="Times New Roman" w:cs="Times New Roman"/>
                <w:sz w:val="24"/>
                <w:szCs w:val="24"/>
                <w:lang w:val="en-US" w:eastAsia="zh-CN"/>
              </w:rPr>
              <w:t>2</w:t>
            </w:r>
          </w:p>
        </w:tc>
        <w:tc>
          <w:tcPr>
            <w:tcW w:w="3545" w:type="dxa"/>
            <w:noWrap w:val="0"/>
            <w:vAlign w:val="center"/>
          </w:tcPr>
          <w:p>
            <w:pPr>
              <w:widowControl/>
              <w:jc w:val="center"/>
              <w:rPr>
                <w:rFonts w:hint="eastAsia" w:ascii="宋体" w:hAnsi="宋体" w:cs="宋体"/>
                <w:color w:val="000000"/>
                <w:sz w:val="24"/>
              </w:rPr>
            </w:pPr>
            <w:r>
              <w:rPr>
                <w:rFonts w:hint="eastAsia" w:ascii="Times New Roman" w:hAnsi="Times New Roman" w:cs="Times New Roman"/>
                <w:sz w:val="24"/>
                <w:szCs w:val="24"/>
                <w:lang w:eastAsia="zh-CN"/>
              </w:rPr>
              <w:t>缩二脲</w:t>
            </w:r>
          </w:p>
        </w:tc>
        <w:tc>
          <w:tcPr>
            <w:tcW w:w="3546" w:type="dxa"/>
            <w:noWrap/>
            <w:vAlign w:val="center"/>
          </w:tcPr>
          <w:p>
            <w:pPr>
              <w:snapToGrid w:val="0"/>
              <w:spacing w:line="440" w:lineRule="exact"/>
              <w:jc w:val="center"/>
              <w:rPr>
                <w:rFonts w:hint="default" w:ascii="宋体" w:hAnsi="宋体" w:eastAsia="宋体" w:cs="宋体"/>
                <w:color w:val="000000"/>
                <w:sz w:val="24"/>
                <w:lang w:val="en-US" w:eastAsia="zh-CN"/>
              </w:rPr>
            </w:pPr>
            <w:r>
              <w:rPr>
                <w:rFonts w:hint="default" w:ascii="Times New Roman" w:hAnsi="Times New Roman" w:eastAsia="宋体" w:cs="Times New Roman"/>
                <w:color w:val="000000"/>
                <w:kern w:val="0"/>
                <w:sz w:val="24"/>
                <w:szCs w:val="24"/>
              </w:rPr>
              <w:t>GB 29518-2013</w:t>
            </w:r>
            <w:r>
              <w:rPr>
                <w:rFonts w:hint="eastAsia" w:ascii="Times New Roman" w:hAnsi="Times New Roman" w:cs="Times New Roman"/>
                <w:color w:val="000000"/>
                <w:kern w:val="0"/>
                <w:sz w:val="24"/>
                <w:szCs w:val="24"/>
                <w:lang w:val="en-US" w:eastAsia="zh-CN"/>
              </w:rPr>
              <w:t xml:space="preserve"> 附录C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 w:type="dxa"/>
            <w:noWrap/>
            <w:vAlign w:val="center"/>
          </w:tcPr>
          <w:p>
            <w:pPr>
              <w:snapToGrid w:val="0"/>
              <w:spacing w:line="440" w:lineRule="exact"/>
              <w:jc w:val="center"/>
              <w:rPr>
                <w:rFonts w:hint="eastAsia" w:ascii="宋体" w:hAnsi="宋体" w:cs="宋体"/>
                <w:color w:val="000000"/>
                <w:sz w:val="24"/>
              </w:rPr>
            </w:pPr>
            <w:r>
              <w:rPr>
                <w:rFonts w:hint="eastAsia" w:ascii="Times New Roman" w:hAnsi="Times New Roman" w:cs="Times New Roman"/>
                <w:sz w:val="24"/>
                <w:szCs w:val="24"/>
                <w:lang w:val="en-US" w:eastAsia="zh-CN"/>
              </w:rPr>
              <w:t>3</w:t>
            </w:r>
          </w:p>
        </w:tc>
        <w:tc>
          <w:tcPr>
            <w:tcW w:w="3545" w:type="dxa"/>
            <w:noWrap w:val="0"/>
            <w:vAlign w:val="center"/>
          </w:tcPr>
          <w:p>
            <w:pPr>
              <w:widowControl/>
              <w:jc w:val="center"/>
              <w:rPr>
                <w:rFonts w:hint="eastAsia" w:ascii="宋体" w:hAnsi="宋体" w:cs="宋体"/>
                <w:color w:val="000000"/>
                <w:sz w:val="24"/>
              </w:rPr>
            </w:pPr>
            <w:r>
              <w:rPr>
                <w:rFonts w:hint="default" w:ascii="Times New Roman" w:hAnsi="Times New Roman" w:eastAsia="宋体" w:cs="Times New Roman"/>
                <w:color w:val="000000"/>
                <w:kern w:val="0"/>
                <w:sz w:val="24"/>
                <w:szCs w:val="24"/>
              </w:rPr>
              <w:t>密度（20℃）</w:t>
            </w:r>
          </w:p>
        </w:tc>
        <w:tc>
          <w:tcPr>
            <w:tcW w:w="3546" w:type="dxa"/>
            <w:noWrap/>
            <w:vAlign w:val="center"/>
          </w:tcPr>
          <w:p>
            <w:pPr>
              <w:snapToGrid w:val="0"/>
              <w:spacing w:line="440" w:lineRule="exact"/>
              <w:jc w:val="center"/>
              <w:rPr>
                <w:rFonts w:hint="eastAsia"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SH/T 0604-2000</w:t>
            </w:r>
          </w:p>
          <w:p>
            <w:pPr>
              <w:snapToGrid w:val="0"/>
              <w:spacing w:line="440" w:lineRule="exact"/>
              <w:jc w:val="center"/>
              <w:rPr>
                <w:rFonts w:hint="eastAsia"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GB/T 1884-2000</w:t>
            </w:r>
          </w:p>
          <w:p>
            <w:pPr>
              <w:snapToGrid w:val="0"/>
              <w:spacing w:line="440" w:lineRule="exact"/>
              <w:jc w:val="center"/>
              <w:rPr>
                <w:rFonts w:hint="default" w:ascii="宋体" w:hAnsi="宋体" w:eastAsia="宋体" w:cs="宋体"/>
                <w:color w:val="000000"/>
                <w:sz w:val="24"/>
                <w:lang w:val="en-US" w:eastAsia="zh-CN"/>
              </w:rPr>
            </w:pPr>
            <w:r>
              <w:rPr>
                <w:rFonts w:hint="eastAsia" w:ascii="Times New Roman" w:hAnsi="Times New Roman" w:cs="Times New Roman"/>
                <w:color w:val="000000"/>
                <w:kern w:val="0"/>
                <w:sz w:val="24"/>
                <w:szCs w:val="24"/>
                <w:lang w:val="en-US" w:eastAsia="zh-CN"/>
              </w:rPr>
              <w:t>GB/T 1885-1998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 w:type="dxa"/>
            <w:noWrap/>
            <w:vAlign w:val="center"/>
          </w:tcPr>
          <w:p>
            <w:pPr>
              <w:snapToGrid w:val="0"/>
              <w:spacing w:line="440" w:lineRule="exact"/>
              <w:jc w:val="center"/>
              <w:rPr>
                <w:rFonts w:hint="eastAsia" w:ascii="宋体" w:hAnsi="宋体" w:cs="宋体"/>
                <w:color w:val="000000"/>
                <w:sz w:val="24"/>
              </w:rPr>
            </w:pPr>
            <w:r>
              <w:rPr>
                <w:rFonts w:hint="eastAsia" w:ascii="Times New Roman" w:hAnsi="Times New Roman" w:cs="Times New Roman"/>
                <w:sz w:val="24"/>
                <w:szCs w:val="24"/>
                <w:lang w:val="en-US" w:eastAsia="zh-CN"/>
              </w:rPr>
              <w:t>4</w:t>
            </w:r>
          </w:p>
        </w:tc>
        <w:tc>
          <w:tcPr>
            <w:tcW w:w="3545" w:type="dxa"/>
            <w:noWrap w:val="0"/>
            <w:vAlign w:val="center"/>
          </w:tcPr>
          <w:p>
            <w:pPr>
              <w:widowControl/>
              <w:jc w:val="center"/>
              <w:rPr>
                <w:rFonts w:hint="default" w:ascii="宋体" w:hAnsi="宋体" w:eastAsia="宋体" w:cs="宋体"/>
                <w:color w:val="000000"/>
                <w:kern w:val="2"/>
                <w:sz w:val="24"/>
                <w:szCs w:val="24"/>
                <w:lang w:val="en-US" w:eastAsia="zh-CN" w:bidi="ar-SA"/>
              </w:rPr>
            </w:pPr>
            <w:r>
              <w:rPr>
                <w:rFonts w:hint="default" w:ascii="Times New Roman" w:hAnsi="Times New Roman" w:eastAsia="宋体" w:cs="Times New Roman"/>
                <w:color w:val="000000"/>
                <w:kern w:val="0"/>
                <w:sz w:val="24"/>
                <w:szCs w:val="24"/>
              </w:rPr>
              <w:t>折光率</w:t>
            </w:r>
          </w:p>
        </w:tc>
        <w:tc>
          <w:tcPr>
            <w:tcW w:w="3546" w:type="dxa"/>
            <w:noWrap/>
            <w:vAlign w:val="center"/>
          </w:tcPr>
          <w:p>
            <w:pPr>
              <w:snapToGrid w:val="0"/>
              <w:spacing w:line="440" w:lineRule="exact"/>
              <w:jc w:val="center"/>
              <w:rPr>
                <w:rFonts w:hint="default" w:ascii="宋体" w:hAnsi="宋体" w:eastAsia="宋体" w:cs="宋体"/>
                <w:color w:val="000000"/>
                <w:kern w:val="2"/>
                <w:sz w:val="24"/>
                <w:szCs w:val="24"/>
                <w:lang w:val="en-US" w:eastAsia="zh-CN" w:bidi="ar-SA"/>
              </w:rPr>
            </w:pPr>
            <w:r>
              <w:rPr>
                <w:rFonts w:hint="eastAsia" w:ascii="Times New Roman" w:hAnsi="Times New Roman" w:cs="Times New Roman"/>
                <w:color w:val="000000"/>
                <w:kern w:val="0"/>
                <w:sz w:val="24"/>
                <w:szCs w:val="24"/>
                <w:lang w:val="en-US" w:eastAsia="zh-CN"/>
              </w:rPr>
              <w:t>GB/T 614-2021</w:t>
            </w:r>
          </w:p>
        </w:tc>
      </w:tr>
    </w:tbl>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执行企业标准、团体标准、地方标准的产品，检验项目参照上述内容执行。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凡是注日期的文件，其随后所有的修改单（不包括勘误的内容）或修订版不适用于本细则。凡是不注日期的文件，其最新版本适用于本细则。</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 </w:t>
      </w:r>
    </w:p>
    <w:p>
      <w:pPr>
        <w:snapToGrid w:val="0"/>
        <w:spacing w:line="440" w:lineRule="exac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 xml:space="preserve">3 判定规则 </w:t>
      </w:r>
    </w:p>
    <w:p>
      <w:pPr>
        <w:snapToGrid w:val="0"/>
        <w:spacing w:line="44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3.1 判定依据 </w:t>
      </w:r>
    </w:p>
    <w:p>
      <w:pPr>
        <w:snapToGrid w:val="0"/>
        <w:spacing w:line="440" w:lineRule="exact"/>
        <w:ind w:firstLine="480" w:firstLineChars="200"/>
        <w:rPr>
          <w:rFonts w:hint="eastAsia"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rPr>
        <w:t xml:space="preserve">GB 29518-2013 </w:t>
      </w:r>
      <w:r>
        <w:rPr>
          <w:rFonts w:hint="eastAsia" w:ascii="Times New Roman" w:hAnsi="Times New Roman"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柴油发动机氮氧化物还原剂</w:t>
      </w:r>
      <w:r>
        <w:rPr>
          <w:rFonts w:hint="eastAsia" w:ascii="Times New Roman" w:hAnsi="Times New Roman"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尿素水溶液</w:t>
      </w:r>
      <w:r>
        <w:rPr>
          <w:rFonts w:hint="eastAsia" w:ascii="Times New Roman" w:hAnsi="Times New Roman" w:cs="Times New Roman"/>
          <w:color w:val="000000"/>
          <w:kern w:val="0"/>
          <w:sz w:val="24"/>
          <w:szCs w:val="24"/>
          <w:lang w:eastAsia="zh-CN"/>
        </w:rPr>
        <w:t>（</w:t>
      </w:r>
      <w:r>
        <w:rPr>
          <w:rFonts w:hint="default" w:ascii="Times New Roman" w:hAnsi="Times New Roman" w:eastAsia="宋体" w:cs="Times New Roman"/>
          <w:color w:val="000000"/>
          <w:kern w:val="0"/>
          <w:sz w:val="24"/>
          <w:szCs w:val="24"/>
        </w:rPr>
        <w:t>AUS 32）</w:t>
      </w:r>
      <w:r>
        <w:rPr>
          <w:rFonts w:hint="eastAsia" w:ascii="Times New Roman" w:hAnsi="Times New Roman" w:cs="Times New Roman"/>
          <w:color w:val="000000"/>
          <w:kern w:val="0"/>
          <w:sz w:val="24"/>
          <w:szCs w:val="24"/>
          <w:lang w:eastAsia="zh-CN"/>
        </w:rPr>
        <w:t>》</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现行有效的企业标准、团体标准、地方标准及产品明示质量要求 </w:t>
      </w:r>
    </w:p>
    <w:p>
      <w:pPr>
        <w:snapToGrid w:val="0"/>
        <w:spacing w:line="440" w:lineRule="exac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3.2 判定原则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经检验，检验项目全部合格，判定为被抽查产品合格；检验项目中任一项或一项以上不合格，判定为被抽查产品不合格。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若被检产品明示的质量要求高于本细则中检验项目依据的标准要求时，应按被检产品明示的质量要求判定。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若被检产品明示的质量要求低于本细则中检验项目依据的强制性标准要求时，应按照强制性标准要求判定。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若被检产品明示的质量要求低于或包含本细则中检验项目依据的推荐性标准要求时，应以被检产品明示的质量要求判定。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若被检产品明示的质量要求缺少本细则中检验项目依据的强制性标准要求时，应按照强制性标准要求判定。 </w:t>
      </w:r>
    </w:p>
    <w:p>
      <w:pPr>
        <w:snapToGrid w:val="0"/>
        <w:spacing w:line="44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若被检产品明示的质量要求缺少本细则中检验项目依据的推荐性标准要求时，该项目不参与判定。</w:t>
      </w:r>
    </w:p>
    <w:p>
      <w:bookmarkStart w:id="0" w:name="_GoBack"/>
      <w:bookmarkEnd w:id="0"/>
    </w:p>
    <w:sectPr>
      <w:pgSz w:w="11906" w:h="16838"/>
      <w:pgMar w:top="1582" w:right="1417" w:bottom="1179" w:left="154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true"/>
  <w:bordersDoNotSurroundFooter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NThkZjkxNGQ5OGRmYmRjOWMxMTJlYzI1NmU2NDIifQ=="/>
  </w:docVars>
  <w:rsids>
    <w:rsidRoot w:val="00F64133"/>
    <w:rsid w:val="002A55F3"/>
    <w:rsid w:val="007A727E"/>
    <w:rsid w:val="008F17A5"/>
    <w:rsid w:val="00B4215F"/>
    <w:rsid w:val="00BF154A"/>
    <w:rsid w:val="00F64133"/>
    <w:rsid w:val="09731054"/>
    <w:rsid w:val="0CEC768D"/>
    <w:rsid w:val="25A32545"/>
    <w:rsid w:val="370E607B"/>
    <w:rsid w:val="379326F9"/>
    <w:rsid w:val="3CB054DF"/>
    <w:rsid w:val="45A17E9E"/>
    <w:rsid w:val="4DAD528A"/>
    <w:rsid w:val="4FF13AFB"/>
    <w:rsid w:val="5DE10FFA"/>
    <w:rsid w:val="63147115"/>
    <w:rsid w:val="6C6E6699"/>
    <w:rsid w:val="6FFF516D"/>
    <w:rsid w:val="751D4767"/>
    <w:rsid w:val="75260D1D"/>
    <w:rsid w:val="7A226C39"/>
    <w:rsid w:val="7B1C0C32"/>
    <w:rsid w:val="7F123EB0"/>
    <w:rsid w:val="C7C7E10B"/>
    <w:rsid w:val="FBF90F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eastAsia="宋体" w:cs="Times New Roman"/>
      <w:kern w:val="2"/>
      <w:sz w:val="18"/>
      <w:szCs w:val="18"/>
    </w:rPr>
  </w:style>
  <w:style w:type="character" w:customStyle="1" w:styleId="7">
    <w:name w:val="页眉 Char"/>
    <w:basedOn w:val="5"/>
    <w:link w:val="3"/>
    <w:qFormat/>
    <w:uiPriority w:val="0"/>
    <w:rPr>
      <w:rFonts w:ascii="Calibri" w:hAnsi="Calibri" w:eastAsia="宋体" w:cs="Times New Roman"/>
      <w:kern w:val="2"/>
      <w:sz w:val="18"/>
      <w:szCs w:val="18"/>
    </w:rPr>
  </w:style>
  <w:style w:type="paragraph" w:customStyle="1" w:styleId="8">
    <w:name w:val="段"/>
    <w:qFormat/>
    <w:uiPriority w:val="0"/>
    <w:pPr>
      <w:autoSpaceDE w:val="0"/>
      <w:autoSpaceDN w:val="0"/>
      <w:spacing w:line="440" w:lineRule="exact"/>
      <w:ind w:left="420"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139</Words>
  <Characters>794</Characters>
  <Lines>6</Lines>
  <Paragraphs>1</Paragraphs>
  <TotalTime>0</TotalTime>
  <ScaleCrop>false</ScaleCrop>
  <LinksUpToDate>false</LinksUpToDate>
  <CharactersWithSpaces>932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2024-01-18T11:17:00Z</dcterms:created>
  <dc:creator>Administrator</dc:creator>
  <cp:lastModifiedBy>greatwall</cp:lastModifiedBy>
  <dcterms:modified xsi:type="dcterms:W3CDTF">2025-03-12T08:57:20Z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39F2D3BEDF6E45F0B93646F4D35A11B8_13</vt:lpwstr>
  </property>
</Properties>
</file>