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ascii="宋体" w:hAnsi="宋体" w:cs="方正仿宋简体"/>
          <w:b/>
          <w:color w:val="000000"/>
          <w:sz w:val="32"/>
          <w:szCs w:val="32"/>
        </w:rPr>
      </w:pPr>
      <w:r>
        <w:rPr>
          <w:rFonts w:hint="eastAsia" w:ascii="宋体" w:hAnsi="宋体" w:cs="方正仿宋简体"/>
          <w:b/>
          <w:color w:val="000000"/>
          <w:sz w:val="32"/>
          <w:szCs w:val="32"/>
        </w:rPr>
        <w:t>黄石市家用电器产品质量监督抽查实施细则</w:t>
      </w:r>
    </w:p>
    <w:p>
      <w:pPr>
        <w:jc w:val="center"/>
        <w:rPr>
          <w:rFonts w:ascii="黑体" w:hAnsi="黑体" w:eastAsia="黑体" w:cs="黑体"/>
          <w:sz w:val="28"/>
          <w:szCs w:val="28"/>
        </w:rPr>
      </w:pPr>
      <w:r>
        <w:rPr>
          <w:rFonts w:hint="eastAsia" w:ascii="宋体" w:hAnsi="宋体"/>
          <w:b/>
          <w:sz w:val="32"/>
          <w:szCs w:val="30"/>
        </w:rPr>
        <w:t>（202</w:t>
      </w:r>
      <w:r>
        <w:rPr>
          <w:rFonts w:hint="eastAsia" w:ascii="宋体" w:hAnsi="宋体"/>
          <w:b/>
          <w:sz w:val="32"/>
          <w:szCs w:val="30"/>
          <w:lang w:val="en-US" w:eastAsia="zh-CN"/>
        </w:rPr>
        <w:t>4</w:t>
      </w:r>
      <w:r>
        <w:rPr>
          <w:rFonts w:hint="eastAsia" w:ascii="宋体" w:hAnsi="宋体"/>
          <w:b/>
          <w:sz w:val="32"/>
          <w:szCs w:val="30"/>
        </w:rPr>
        <w:t>年版）</w:t>
      </w:r>
    </w:p>
    <w:p>
      <w:pPr>
        <w:numPr>
          <w:ilvl w:val="0"/>
          <w:numId w:val="1"/>
        </w:numPr>
        <w:rPr>
          <w:rFonts w:ascii="黑体" w:hAnsi="黑体" w:eastAsia="黑体" w:cs="黑体"/>
          <w:b/>
          <w:bCs/>
          <w:sz w:val="24"/>
        </w:rPr>
      </w:pPr>
      <w:r>
        <w:rPr>
          <w:rFonts w:hint="eastAsia" w:ascii="黑体" w:hAnsi="黑体" w:eastAsia="黑体" w:cs="黑体"/>
          <w:b/>
          <w:bCs/>
          <w:sz w:val="24"/>
        </w:rPr>
        <w:t>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pPr>
        <w:snapToGrid w:val="0"/>
        <w:spacing w:line="440" w:lineRule="exact"/>
        <w:ind w:firstLine="420" w:firstLineChars="200"/>
        <w:rPr>
          <w:rFonts w:ascii="宋体" w:hAnsi="宋体"/>
          <w:color w:val="000000"/>
          <w:szCs w:val="21"/>
        </w:rPr>
      </w:pPr>
      <w:r>
        <w:rPr>
          <w:rFonts w:hint="eastAsia" w:ascii="宋体" w:hAnsi="宋体"/>
          <w:color w:val="000000"/>
          <w:szCs w:val="21"/>
          <w:lang w:eastAsia="zh-CN"/>
        </w:rPr>
        <w:t>随机</w:t>
      </w:r>
      <w:r>
        <w:rPr>
          <w:rFonts w:hint="eastAsia" w:ascii="宋体" w:hAnsi="宋体"/>
          <w:color w:val="000000"/>
          <w:szCs w:val="21"/>
        </w:rPr>
        <w:t>抽取样品</w:t>
      </w:r>
      <w:r>
        <w:rPr>
          <w:rFonts w:ascii="宋体" w:hAnsi="宋体"/>
          <w:color w:val="000000"/>
          <w:szCs w:val="21"/>
        </w:rPr>
        <w:t>3</w:t>
      </w:r>
      <w:r>
        <w:rPr>
          <w:rFonts w:hint="eastAsia" w:ascii="宋体" w:hAnsi="宋体"/>
          <w:color w:val="000000"/>
          <w:szCs w:val="21"/>
        </w:rPr>
        <w:t>台，其中</w:t>
      </w:r>
      <w:r>
        <w:rPr>
          <w:rFonts w:ascii="宋体" w:hAnsi="宋体"/>
          <w:color w:val="000000"/>
          <w:szCs w:val="21"/>
        </w:rPr>
        <w:t>2</w:t>
      </w:r>
      <w:r>
        <w:rPr>
          <w:rFonts w:hint="eastAsia" w:ascii="宋体" w:hAnsi="宋体"/>
          <w:color w:val="000000"/>
          <w:szCs w:val="21"/>
        </w:rPr>
        <w:t>台作为检验样品，</w:t>
      </w:r>
      <w:r>
        <w:rPr>
          <w:rFonts w:ascii="宋体" w:hAnsi="宋体"/>
          <w:color w:val="000000"/>
          <w:szCs w:val="21"/>
        </w:rPr>
        <w:t>1</w:t>
      </w:r>
      <w:r>
        <w:rPr>
          <w:rFonts w:hint="eastAsia" w:ascii="宋体" w:hAnsi="宋体"/>
          <w:color w:val="000000"/>
          <w:szCs w:val="21"/>
        </w:rPr>
        <w:t>台作为备用样品。</w:t>
      </w:r>
    </w:p>
    <w:p>
      <w:pPr>
        <w:numPr>
          <w:ilvl w:val="0"/>
          <w:numId w:val="1"/>
        </w:numPr>
        <w:rPr>
          <w:rFonts w:ascii="黑体" w:hAnsi="黑体" w:eastAsia="黑体" w:cs="黑体"/>
          <w:b/>
          <w:bCs/>
          <w:sz w:val="24"/>
        </w:rPr>
      </w:pPr>
      <w:r>
        <w:rPr>
          <w:rFonts w:hint="eastAsia" w:ascii="黑体" w:hAnsi="黑体" w:eastAsia="黑体" w:cs="黑体"/>
          <w:b/>
          <w:bCs/>
          <w:sz w:val="24"/>
        </w:rPr>
        <w:t>检验依据</w:t>
      </w:r>
    </w:p>
    <w:p>
      <w:pPr>
        <w:snapToGrid w:val="0"/>
        <w:spacing w:line="440" w:lineRule="exact"/>
        <w:jc w:val="center"/>
        <w:rPr>
          <w:rFonts w:ascii="宋体" w:hAnsi="宋体"/>
          <w:szCs w:val="21"/>
        </w:rPr>
      </w:pPr>
      <w:r>
        <w:rPr>
          <w:rFonts w:ascii="宋体" w:hAnsi="宋体"/>
          <w:szCs w:val="21"/>
        </w:rPr>
        <w:t>表1</w:t>
      </w:r>
      <w:r>
        <w:rPr>
          <w:rFonts w:hint="eastAsia" w:ascii="宋体" w:hAnsi="宋体"/>
          <w:szCs w:val="21"/>
        </w:rPr>
        <w:t>家用电器</w:t>
      </w:r>
      <w:bookmarkStart w:id="0" w:name="_GoBack"/>
      <w:bookmarkEnd w:id="0"/>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458"/>
        <w:gridCol w:w="1890"/>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snapToGrid w:val="0"/>
              <w:spacing w:line="440" w:lineRule="exact"/>
              <w:jc w:val="center"/>
              <w:rPr>
                <w:rFonts w:ascii="宋体" w:hAnsi="宋体"/>
                <w:color w:val="000000"/>
                <w:szCs w:val="21"/>
              </w:rPr>
            </w:pPr>
            <w:r>
              <w:rPr>
                <w:rFonts w:ascii="宋体" w:hAnsi="宋体"/>
                <w:color w:val="000000"/>
                <w:szCs w:val="21"/>
              </w:rPr>
              <w:t>序号</w:t>
            </w:r>
          </w:p>
        </w:tc>
        <w:tc>
          <w:tcPr>
            <w:tcW w:w="3458" w:type="dxa"/>
          </w:tcPr>
          <w:p>
            <w:pPr>
              <w:snapToGrid w:val="0"/>
              <w:spacing w:line="440" w:lineRule="exact"/>
              <w:jc w:val="center"/>
              <w:rPr>
                <w:rFonts w:ascii="宋体" w:hAnsi="宋体"/>
                <w:color w:val="000000"/>
                <w:szCs w:val="21"/>
              </w:rPr>
            </w:pPr>
            <w:r>
              <w:rPr>
                <w:rFonts w:ascii="宋体" w:hAnsi="宋体"/>
                <w:color w:val="000000"/>
                <w:szCs w:val="21"/>
              </w:rPr>
              <w:t>检验项目</w:t>
            </w:r>
          </w:p>
        </w:tc>
        <w:tc>
          <w:tcPr>
            <w:tcW w:w="1890" w:type="dxa"/>
          </w:tcPr>
          <w:p>
            <w:pPr>
              <w:snapToGrid w:val="0"/>
              <w:spacing w:line="440" w:lineRule="exact"/>
              <w:jc w:val="center"/>
              <w:rPr>
                <w:rFonts w:hint="eastAsia" w:ascii="宋体" w:hAnsi="宋体" w:eastAsiaTheme="minorEastAsia"/>
                <w:color w:val="000000"/>
                <w:szCs w:val="21"/>
                <w:lang w:eastAsia="zh-CN"/>
              </w:rPr>
            </w:pPr>
            <w:r>
              <w:rPr>
                <w:rFonts w:hint="eastAsia" w:ascii="宋体" w:hAnsi="宋体"/>
                <w:color w:val="000000"/>
                <w:szCs w:val="21"/>
                <w:lang w:eastAsia="zh-CN"/>
              </w:rPr>
              <w:t>检验依据</w:t>
            </w:r>
          </w:p>
        </w:tc>
        <w:tc>
          <w:tcPr>
            <w:tcW w:w="2156" w:type="dxa"/>
          </w:tcPr>
          <w:p>
            <w:pPr>
              <w:snapToGrid w:val="0"/>
              <w:spacing w:line="440" w:lineRule="exact"/>
              <w:jc w:val="center"/>
              <w:rPr>
                <w:rFonts w:ascii="宋体" w:hAnsi="宋体"/>
                <w:color w:val="000000"/>
                <w:szCs w:val="21"/>
              </w:rPr>
            </w:pPr>
            <w:r>
              <w:rPr>
                <w:rFonts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18" w:type="dxa"/>
            <w:vAlign w:val="center"/>
          </w:tcPr>
          <w:p>
            <w:pPr>
              <w:snapToGrid w:val="0"/>
              <w:spacing w:line="440" w:lineRule="exact"/>
              <w:jc w:val="center"/>
              <w:rPr>
                <w:rFonts w:ascii="宋体" w:hAnsi="宋体"/>
                <w:szCs w:val="21"/>
              </w:rPr>
            </w:pPr>
            <w:r>
              <w:rPr>
                <w:rFonts w:hint="eastAsia" w:ascii="宋体" w:hAnsi="宋体"/>
                <w:szCs w:val="21"/>
              </w:rPr>
              <w:t>1</w:t>
            </w:r>
          </w:p>
        </w:tc>
        <w:tc>
          <w:tcPr>
            <w:tcW w:w="3458" w:type="dxa"/>
            <w:vAlign w:val="center"/>
          </w:tcPr>
          <w:p>
            <w:pPr>
              <w:spacing w:line="440" w:lineRule="exact"/>
              <w:jc w:val="center"/>
              <w:rPr>
                <w:rFonts w:ascii="宋体" w:hAnsi="宋体" w:cs="宋体"/>
                <w:szCs w:val="21"/>
              </w:rPr>
            </w:pPr>
            <w:r>
              <w:rPr>
                <w:rFonts w:hint="eastAsia" w:ascii="宋体" w:hAnsi="宋体" w:cs="宋体"/>
                <w:szCs w:val="21"/>
              </w:rPr>
              <w:t>标志和说明（GB 47061.1中7.1）</w:t>
            </w:r>
          </w:p>
        </w:tc>
        <w:tc>
          <w:tcPr>
            <w:tcW w:w="1890" w:type="dxa"/>
            <w:vAlign w:val="center"/>
          </w:tcPr>
          <w:p>
            <w:pPr>
              <w:spacing w:line="440" w:lineRule="exact"/>
              <w:jc w:val="center"/>
              <w:rPr>
                <w:rFonts w:hint="eastAsia" w:ascii="宋体" w:hAnsi="宋体" w:cs="宋体"/>
                <w:szCs w:val="21"/>
              </w:rPr>
            </w:pPr>
            <w:r>
              <w:rPr>
                <w:rFonts w:hint="eastAsia" w:ascii="宋体" w:hAnsi="宋体"/>
                <w:szCs w:val="21"/>
              </w:rPr>
              <w:t>GB 4706.1-2005</w:t>
            </w:r>
          </w:p>
        </w:tc>
        <w:tc>
          <w:tcPr>
            <w:tcW w:w="2156" w:type="dxa"/>
            <w:vAlign w:val="center"/>
          </w:tcPr>
          <w:p>
            <w:pPr>
              <w:snapToGrid w:val="0"/>
              <w:spacing w:line="440" w:lineRule="exact"/>
              <w:jc w:val="center"/>
              <w:rPr>
                <w:rFonts w:ascii="宋体" w:hAnsi="宋体"/>
                <w:szCs w:val="21"/>
              </w:rPr>
            </w:pPr>
            <w:r>
              <w:rPr>
                <w:rFonts w:hint="eastAsia" w:ascii="宋体" w:hAnsi="宋体"/>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18" w:type="dxa"/>
            <w:vAlign w:val="center"/>
          </w:tcPr>
          <w:p>
            <w:pPr>
              <w:snapToGrid w:val="0"/>
              <w:spacing w:line="44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3458" w:type="dxa"/>
            <w:vAlign w:val="center"/>
          </w:tcPr>
          <w:p>
            <w:pPr>
              <w:spacing w:line="440" w:lineRule="exact"/>
              <w:jc w:val="center"/>
              <w:rPr>
                <w:rFonts w:hint="eastAsia" w:ascii="宋体" w:hAnsi="宋体" w:cs="宋体" w:eastAsiaTheme="minorEastAsia"/>
                <w:szCs w:val="21"/>
                <w:lang w:val="en-US" w:eastAsia="zh-CN"/>
              </w:rPr>
            </w:pPr>
            <w:r>
              <w:rPr>
                <w:rFonts w:hint="eastAsia" w:ascii="宋体" w:hAnsi="宋体" w:cs="宋体"/>
                <w:szCs w:val="21"/>
                <w:lang w:val="en-US" w:eastAsia="zh-CN"/>
              </w:rPr>
              <w:t>对触及带电部件的防护</w:t>
            </w:r>
          </w:p>
        </w:tc>
        <w:tc>
          <w:tcPr>
            <w:tcW w:w="1890" w:type="dxa"/>
            <w:vAlign w:val="center"/>
          </w:tcPr>
          <w:p>
            <w:pPr>
              <w:spacing w:line="440" w:lineRule="exact"/>
              <w:jc w:val="center"/>
              <w:rPr>
                <w:rFonts w:hint="eastAsia" w:ascii="宋体" w:hAnsi="宋体" w:cs="宋体"/>
                <w:szCs w:val="21"/>
                <w:lang w:val="en-US" w:eastAsia="zh-CN"/>
              </w:rPr>
            </w:pPr>
            <w:r>
              <w:rPr>
                <w:rFonts w:hint="eastAsia" w:ascii="宋体" w:hAnsi="宋体"/>
                <w:szCs w:val="21"/>
              </w:rPr>
              <w:t>GB 4706.1-2005</w:t>
            </w:r>
          </w:p>
        </w:tc>
        <w:tc>
          <w:tcPr>
            <w:tcW w:w="2156" w:type="dxa"/>
            <w:vAlign w:val="center"/>
          </w:tcPr>
          <w:p>
            <w:pPr>
              <w:snapToGrid w:val="0"/>
              <w:spacing w:line="440" w:lineRule="exact"/>
              <w:jc w:val="center"/>
              <w:rPr>
                <w:rFonts w:hint="eastAsia" w:ascii="宋体" w:hAnsi="宋体"/>
                <w:szCs w:val="21"/>
              </w:rPr>
            </w:pPr>
            <w:r>
              <w:rPr>
                <w:rFonts w:hint="eastAsia" w:ascii="宋体" w:hAnsi="宋体"/>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18" w:type="dxa"/>
            <w:vAlign w:val="center"/>
          </w:tcPr>
          <w:p>
            <w:pPr>
              <w:snapToGrid w:val="0"/>
              <w:spacing w:line="440" w:lineRule="exact"/>
              <w:jc w:val="center"/>
              <w:rPr>
                <w:rFonts w:hint="eastAsia" w:ascii="宋体" w:hAnsi="宋体" w:eastAsiaTheme="minorEastAsia"/>
                <w:szCs w:val="21"/>
                <w:lang w:val="en-US" w:eastAsia="zh-CN"/>
              </w:rPr>
            </w:pPr>
            <w:r>
              <w:rPr>
                <w:rFonts w:hint="eastAsia" w:ascii="宋体" w:hAnsi="宋体"/>
                <w:szCs w:val="21"/>
                <w:lang w:val="en-US" w:eastAsia="zh-CN"/>
              </w:rPr>
              <w:t>3</w:t>
            </w:r>
          </w:p>
        </w:tc>
        <w:tc>
          <w:tcPr>
            <w:tcW w:w="3458" w:type="dxa"/>
            <w:vAlign w:val="center"/>
          </w:tcPr>
          <w:p>
            <w:pPr>
              <w:spacing w:line="440" w:lineRule="exact"/>
              <w:jc w:val="center"/>
              <w:rPr>
                <w:rFonts w:hint="eastAsia" w:ascii="宋体" w:hAnsi="宋体" w:cs="宋体" w:eastAsiaTheme="minorEastAsia"/>
                <w:szCs w:val="21"/>
                <w:lang w:eastAsia="zh-CN"/>
              </w:rPr>
            </w:pPr>
            <w:r>
              <w:rPr>
                <w:rFonts w:hint="eastAsia" w:ascii="宋体" w:hAnsi="宋体" w:cs="宋体"/>
                <w:szCs w:val="21"/>
                <w:lang w:eastAsia="zh-CN"/>
              </w:rPr>
              <w:t>泄漏</w:t>
            </w:r>
            <w:r>
              <w:rPr>
                <w:rFonts w:hint="eastAsia" w:ascii="宋体" w:hAnsi="宋体" w:cs="宋体"/>
                <w:szCs w:val="21"/>
              </w:rPr>
              <w:t>电流</w:t>
            </w:r>
            <w:r>
              <w:rPr>
                <w:rFonts w:hint="eastAsia" w:ascii="宋体" w:hAnsi="宋体" w:cs="宋体"/>
                <w:szCs w:val="21"/>
                <w:lang w:eastAsia="zh-CN"/>
              </w:rPr>
              <w:t>和电气强度</w:t>
            </w:r>
          </w:p>
        </w:tc>
        <w:tc>
          <w:tcPr>
            <w:tcW w:w="1890" w:type="dxa"/>
            <w:vAlign w:val="center"/>
          </w:tcPr>
          <w:p>
            <w:pPr>
              <w:spacing w:line="440" w:lineRule="exact"/>
              <w:jc w:val="center"/>
              <w:rPr>
                <w:rFonts w:hint="eastAsia" w:ascii="宋体" w:hAnsi="宋体" w:cs="宋体"/>
                <w:szCs w:val="21"/>
                <w:lang w:eastAsia="zh-CN"/>
              </w:rPr>
            </w:pPr>
            <w:r>
              <w:rPr>
                <w:rFonts w:hint="eastAsia" w:ascii="宋体" w:hAnsi="宋体"/>
                <w:szCs w:val="21"/>
              </w:rPr>
              <w:t>GB 4706.1-2005</w:t>
            </w:r>
          </w:p>
        </w:tc>
        <w:tc>
          <w:tcPr>
            <w:tcW w:w="2156" w:type="dxa"/>
            <w:vAlign w:val="center"/>
          </w:tcPr>
          <w:p>
            <w:pPr>
              <w:snapToGrid w:val="0"/>
              <w:spacing w:line="440" w:lineRule="exact"/>
              <w:jc w:val="center"/>
              <w:rPr>
                <w:rFonts w:ascii="宋体" w:hAnsi="宋体"/>
                <w:szCs w:val="21"/>
              </w:rPr>
            </w:pPr>
            <w:r>
              <w:rPr>
                <w:rFonts w:hint="eastAsia" w:ascii="宋体" w:hAnsi="宋体"/>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18" w:type="dxa"/>
            <w:vAlign w:val="center"/>
          </w:tcPr>
          <w:p>
            <w:pPr>
              <w:snapToGrid w:val="0"/>
              <w:spacing w:line="440" w:lineRule="exact"/>
              <w:jc w:val="center"/>
              <w:rPr>
                <w:rFonts w:hint="eastAsia" w:ascii="宋体" w:hAnsi="宋体" w:eastAsiaTheme="minorEastAsia"/>
                <w:szCs w:val="21"/>
                <w:lang w:val="en-US" w:eastAsia="zh-CN"/>
              </w:rPr>
            </w:pPr>
            <w:r>
              <w:rPr>
                <w:rFonts w:hint="eastAsia" w:ascii="宋体" w:hAnsi="宋体"/>
                <w:szCs w:val="21"/>
                <w:lang w:val="en-US" w:eastAsia="zh-CN"/>
              </w:rPr>
              <w:t>4</w:t>
            </w:r>
          </w:p>
        </w:tc>
        <w:tc>
          <w:tcPr>
            <w:tcW w:w="3458" w:type="dxa"/>
            <w:vAlign w:val="center"/>
          </w:tcPr>
          <w:p>
            <w:pPr>
              <w:spacing w:line="440" w:lineRule="exact"/>
              <w:jc w:val="center"/>
              <w:rPr>
                <w:rFonts w:hint="eastAsia" w:ascii="宋体" w:hAnsi="宋体" w:cs="宋体" w:eastAsiaTheme="minorEastAsia"/>
                <w:szCs w:val="21"/>
                <w:lang w:eastAsia="zh-CN"/>
              </w:rPr>
            </w:pPr>
            <w:r>
              <w:rPr>
                <w:rFonts w:hint="eastAsia" w:ascii="宋体" w:hAnsi="宋体" w:cs="宋体"/>
                <w:szCs w:val="21"/>
                <w:lang w:eastAsia="zh-CN"/>
              </w:rPr>
              <w:t>工作温度下的泄漏电流和电气强度</w:t>
            </w:r>
          </w:p>
        </w:tc>
        <w:tc>
          <w:tcPr>
            <w:tcW w:w="1890" w:type="dxa"/>
            <w:vAlign w:val="center"/>
          </w:tcPr>
          <w:p>
            <w:pPr>
              <w:spacing w:line="440" w:lineRule="exact"/>
              <w:jc w:val="center"/>
              <w:rPr>
                <w:rFonts w:hint="eastAsia" w:ascii="宋体" w:hAnsi="宋体" w:cs="宋体"/>
                <w:szCs w:val="21"/>
                <w:lang w:eastAsia="zh-CN"/>
              </w:rPr>
            </w:pPr>
            <w:r>
              <w:rPr>
                <w:rFonts w:hint="eastAsia" w:ascii="宋体" w:hAnsi="宋体"/>
                <w:szCs w:val="21"/>
              </w:rPr>
              <w:t>GB 4706.1-2005</w:t>
            </w:r>
          </w:p>
        </w:tc>
        <w:tc>
          <w:tcPr>
            <w:tcW w:w="2156" w:type="dxa"/>
            <w:vAlign w:val="center"/>
          </w:tcPr>
          <w:p>
            <w:pPr>
              <w:snapToGrid w:val="0"/>
              <w:spacing w:line="440" w:lineRule="exact"/>
              <w:jc w:val="center"/>
              <w:rPr>
                <w:rFonts w:hint="eastAsia" w:ascii="宋体" w:hAnsi="宋体"/>
                <w:szCs w:val="21"/>
              </w:rPr>
            </w:pPr>
            <w:r>
              <w:rPr>
                <w:rFonts w:hint="eastAsia" w:ascii="宋体" w:hAnsi="宋体"/>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18" w:type="dxa"/>
            <w:vAlign w:val="center"/>
          </w:tcPr>
          <w:p>
            <w:pPr>
              <w:snapToGrid w:val="0"/>
              <w:spacing w:line="440" w:lineRule="exact"/>
              <w:jc w:val="center"/>
              <w:rPr>
                <w:rFonts w:hint="eastAsia" w:ascii="宋体" w:hAnsi="宋体" w:eastAsiaTheme="minorEastAsia"/>
                <w:szCs w:val="21"/>
                <w:lang w:val="en-US" w:eastAsia="zh-CN"/>
              </w:rPr>
            </w:pPr>
            <w:r>
              <w:rPr>
                <w:rFonts w:hint="eastAsia" w:ascii="宋体" w:hAnsi="宋体"/>
                <w:szCs w:val="21"/>
                <w:lang w:val="en-US" w:eastAsia="zh-CN"/>
              </w:rPr>
              <w:t>5</w:t>
            </w:r>
          </w:p>
        </w:tc>
        <w:tc>
          <w:tcPr>
            <w:tcW w:w="3458" w:type="dxa"/>
            <w:vAlign w:val="center"/>
          </w:tcPr>
          <w:p>
            <w:pPr>
              <w:spacing w:line="440" w:lineRule="exact"/>
              <w:jc w:val="center"/>
              <w:rPr>
                <w:rFonts w:hint="eastAsia" w:ascii="宋体" w:hAnsi="宋体" w:cs="宋体" w:eastAsiaTheme="minorEastAsia"/>
                <w:szCs w:val="21"/>
                <w:lang w:eastAsia="zh-CN"/>
              </w:rPr>
            </w:pPr>
            <w:r>
              <w:rPr>
                <w:rFonts w:hint="eastAsia" w:ascii="宋体" w:hAnsi="宋体" w:cs="宋体"/>
                <w:szCs w:val="21"/>
              </w:rPr>
              <w:t>接地</w:t>
            </w:r>
            <w:r>
              <w:rPr>
                <w:rFonts w:hint="eastAsia" w:ascii="宋体" w:hAnsi="宋体" w:cs="宋体"/>
                <w:szCs w:val="21"/>
                <w:lang w:eastAsia="zh-CN"/>
              </w:rPr>
              <w:t>电阻</w:t>
            </w:r>
          </w:p>
        </w:tc>
        <w:tc>
          <w:tcPr>
            <w:tcW w:w="1890" w:type="dxa"/>
            <w:vAlign w:val="center"/>
          </w:tcPr>
          <w:p>
            <w:pPr>
              <w:spacing w:line="440" w:lineRule="exact"/>
              <w:jc w:val="center"/>
              <w:rPr>
                <w:rFonts w:hint="eastAsia" w:ascii="宋体" w:hAnsi="宋体" w:cs="宋体"/>
                <w:szCs w:val="21"/>
              </w:rPr>
            </w:pPr>
            <w:r>
              <w:rPr>
                <w:rFonts w:hint="eastAsia" w:ascii="宋体" w:hAnsi="宋体"/>
                <w:szCs w:val="21"/>
              </w:rPr>
              <w:t>GB 4706.1-2005</w:t>
            </w:r>
          </w:p>
        </w:tc>
        <w:tc>
          <w:tcPr>
            <w:tcW w:w="2156" w:type="dxa"/>
            <w:vAlign w:val="center"/>
          </w:tcPr>
          <w:p>
            <w:pPr>
              <w:snapToGrid w:val="0"/>
              <w:spacing w:line="440" w:lineRule="exact"/>
              <w:jc w:val="center"/>
              <w:rPr>
                <w:rFonts w:hint="eastAsia" w:ascii="宋体" w:hAnsi="宋体"/>
                <w:szCs w:val="21"/>
              </w:rPr>
            </w:pPr>
            <w:r>
              <w:rPr>
                <w:rFonts w:hint="eastAsia" w:ascii="宋体" w:hAnsi="宋体"/>
                <w:szCs w:val="21"/>
              </w:rPr>
              <w:t>GB 4706.1-2005</w:t>
            </w:r>
          </w:p>
        </w:tc>
      </w:tr>
    </w:tbl>
    <w:p>
      <w:pPr>
        <w:rPr>
          <w:rFonts w:ascii="黑体" w:hAnsi="黑体" w:eastAsia="黑体" w:cs="黑体"/>
          <w:b/>
          <w:bCs/>
          <w:sz w:val="24"/>
        </w:rPr>
      </w:pPr>
    </w:p>
    <w:p>
      <w:pPr>
        <w:spacing w:line="360" w:lineRule="auto"/>
        <w:ind w:firstLine="420"/>
        <w:rPr>
          <w:rFonts w:ascii="黑体" w:hAnsi="黑体" w:eastAsia="黑体" w:cs="黑体"/>
          <w:sz w:val="24"/>
        </w:rPr>
      </w:pPr>
      <w:r>
        <w:rPr>
          <w:rFonts w:hint="eastAsia"/>
        </w:rPr>
        <w:t>备注：表1中家用电器主要包含：电饭煲、电水壶、电风扇、微波炉、电磁炉等。</w:t>
      </w:r>
    </w:p>
    <w:p>
      <w:pPr>
        <w:rPr>
          <w:rFonts w:ascii="黑体" w:hAnsi="黑体" w:eastAsia="黑体" w:cs="黑体"/>
          <w:b/>
          <w:bCs/>
          <w:sz w:val="24"/>
        </w:rPr>
      </w:pPr>
      <w:r>
        <w:rPr>
          <w:rFonts w:hint="eastAsia" w:ascii="黑体" w:hAnsi="黑体" w:eastAsia="黑体" w:cs="黑体"/>
          <w:b/>
          <w:bCs/>
          <w:sz w:val="24"/>
        </w:rPr>
        <w:t>3.判定规则</w:t>
      </w:r>
    </w:p>
    <w:p>
      <w:pPr>
        <w:snapToGrid w:val="0"/>
        <w:spacing w:line="440" w:lineRule="exact"/>
        <w:rPr>
          <w:rFonts w:ascii="宋体" w:hAnsi="宋体" w:eastAsia="宋体" w:cs="Times New Roman"/>
          <w:szCs w:val="21"/>
        </w:rPr>
      </w:pPr>
      <w:r>
        <w:rPr>
          <w:rFonts w:hint="eastAsia" w:ascii="宋体" w:hAnsi="宋体" w:eastAsia="宋体" w:cs="Times New Roman"/>
          <w:szCs w:val="21"/>
        </w:rPr>
        <w:t>3.1依据标准</w:t>
      </w:r>
    </w:p>
    <w:p>
      <w:pPr>
        <w:snapToGrid w:val="0"/>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GB 4706.1-2005  家用和类似用途电器的安全 第1部分：通用要求 </w:t>
      </w:r>
    </w:p>
    <w:p>
      <w:pPr>
        <w:spacing w:line="440" w:lineRule="exact"/>
        <w:ind w:firstLine="420" w:firstLineChars="200"/>
        <w:rPr>
          <w:rFonts w:ascii="宋体" w:hAnsi="宋体"/>
          <w:szCs w:val="21"/>
        </w:rPr>
      </w:pPr>
      <w:r>
        <w:rPr>
          <w:color w:val="000000"/>
          <w:szCs w:val="21"/>
        </w:rPr>
        <w:t>现行有效的企业标准、团体标准、地方标准及产品明示质量要求</w:t>
      </w:r>
    </w:p>
    <w:p>
      <w:pPr>
        <w:snapToGrid w:val="0"/>
        <w:spacing w:line="440" w:lineRule="exact"/>
        <w:rPr>
          <w:rFonts w:ascii="宋体" w:hAnsi="宋体" w:eastAsia="宋体" w:cs="Times New Roman"/>
          <w:szCs w:val="21"/>
        </w:rPr>
      </w:pPr>
      <w:r>
        <w:rPr>
          <w:rFonts w:hint="eastAsia" w:ascii="宋体" w:hAnsi="宋体" w:eastAsia="宋体" w:cs="Times New Roman"/>
          <w:szCs w:val="21"/>
        </w:rPr>
        <w:t>3.2判定原则</w:t>
      </w:r>
    </w:p>
    <w:p>
      <w:pPr>
        <w:snapToGrid w:val="0"/>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经检验，检验项目全部合格，判定为被抽查产品合格；检验项目中任一项或一项以上不合格，判定为被抽查产品不合格。</w:t>
      </w:r>
    </w:p>
    <w:p>
      <w:pPr>
        <w:snapToGrid w:val="0"/>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若被检产品明示的质量要求高于本细则中检验项目依据的标准要求时，应按被检产品明示的质量要求判定。</w:t>
      </w:r>
    </w:p>
    <w:p>
      <w:pPr>
        <w:snapToGrid w:val="0"/>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若被检产品明示的质量要求低于本细则中检验项目依据的强制性标准要求时，应按照强制性标准要求判定。</w:t>
      </w:r>
    </w:p>
    <w:p>
      <w:pPr>
        <w:snapToGrid w:val="0"/>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若被检产品明示的质量要求低于或包含细则中检验项目依据的推荐性标准要求时，应以被检产品明示的质量要求判定。</w:t>
      </w:r>
    </w:p>
    <w:p>
      <w:pPr>
        <w:snapToGrid w:val="0"/>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若被检产品明示的质量要求缺少本细则中检验项目据的强制性标准要求时，应按照强制性标准要求判定。</w:t>
      </w:r>
    </w:p>
    <w:p>
      <w:pPr>
        <w:snapToGrid w:val="0"/>
        <w:spacing w:line="440" w:lineRule="exact"/>
        <w:ind w:firstLine="420" w:firstLineChars="200"/>
        <w:rPr>
          <w:rFonts w:ascii="黑体" w:hAnsi="黑体" w:eastAsia="黑体" w:cs="黑体"/>
        </w:rPr>
      </w:pPr>
      <w:r>
        <w:rPr>
          <w:rFonts w:hint="eastAsia" w:ascii="宋体" w:hAnsi="宋体" w:eastAsia="宋体" w:cs="Times New Roman"/>
          <w:szCs w:val="21"/>
        </w:rPr>
        <w:t>若被检产品明示的质量要求缺少本细则中检验项目依据的推荐性标准要求时，该项目不参与判定，但应在检验报告备注中进行说明。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仿宋"/>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89AB1"/>
    <w:multiLevelType w:val="multilevel"/>
    <w:tmpl w:val="DFF89AB1"/>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2FiNWJhMGVhODkzNmIwZDZiOWViMGFiNmM4MDcifQ=="/>
  </w:docVars>
  <w:rsids>
    <w:rsidRoot w:val="B71ABD60"/>
    <w:rsid w:val="000F5A6F"/>
    <w:rsid w:val="002005DB"/>
    <w:rsid w:val="003720C9"/>
    <w:rsid w:val="00763073"/>
    <w:rsid w:val="00906786"/>
    <w:rsid w:val="009D1A70"/>
    <w:rsid w:val="00CC58EF"/>
    <w:rsid w:val="00D74996"/>
    <w:rsid w:val="01DF79C5"/>
    <w:rsid w:val="0261487E"/>
    <w:rsid w:val="0295277A"/>
    <w:rsid w:val="06344057"/>
    <w:rsid w:val="082C4FE6"/>
    <w:rsid w:val="08E81855"/>
    <w:rsid w:val="09167A44"/>
    <w:rsid w:val="0A222B45"/>
    <w:rsid w:val="0AB1211B"/>
    <w:rsid w:val="0BC36A05"/>
    <w:rsid w:val="10AA3894"/>
    <w:rsid w:val="10B71725"/>
    <w:rsid w:val="10CA7A92"/>
    <w:rsid w:val="112C6057"/>
    <w:rsid w:val="11A52388"/>
    <w:rsid w:val="11E3705D"/>
    <w:rsid w:val="11FA7F03"/>
    <w:rsid w:val="15063063"/>
    <w:rsid w:val="15B825AF"/>
    <w:rsid w:val="16B5089D"/>
    <w:rsid w:val="175207E1"/>
    <w:rsid w:val="1A2521DD"/>
    <w:rsid w:val="1BC51676"/>
    <w:rsid w:val="1C71170A"/>
    <w:rsid w:val="1D0B4105"/>
    <w:rsid w:val="1D4209B0"/>
    <w:rsid w:val="1F185E6D"/>
    <w:rsid w:val="21B856E5"/>
    <w:rsid w:val="21CF315A"/>
    <w:rsid w:val="236A46E0"/>
    <w:rsid w:val="247420C9"/>
    <w:rsid w:val="27AE55C0"/>
    <w:rsid w:val="281A4A03"/>
    <w:rsid w:val="299A5D66"/>
    <w:rsid w:val="2A8768A9"/>
    <w:rsid w:val="2AB96756"/>
    <w:rsid w:val="2CE61358"/>
    <w:rsid w:val="30313232"/>
    <w:rsid w:val="31C326F7"/>
    <w:rsid w:val="33FF1C14"/>
    <w:rsid w:val="34BB30CA"/>
    <w:rsid w:val="352073D1"/>
    <w:rsid w:val="361B02C4"/>
    <w:rsid w:val="3AB64A60"/>
    <w:rsid w:val="3C397869"/>
    <w:rsid w:val="3CBE7BFC"/>
    <w:rsid w:val="3DFF6237"/>
    <w:rsid w:val="3F373C95"/>
    <w:rsid w:val="3FF10A83"/>
    <w:rsid w:val="40E251A7"/>
    <w:rsid w:val="41F36599"/>
    <w:rsid w:val="43FB1735"/>
    <w:rsid w:val="45073D62"/>
    <w:rsid w:val="455F7AA2"/>
    <w:rsid w:val="4B0709C0"/>
    <w:rsid w:val="4B8C23BD"/>
    <w:rsid w:val="4C404189"/>
    <w:rsid w:val="4C6D0CF6"/>
    <w:rsid w:val="4D493511"/>
    <w:rsid w:val="4E17716C"/>
    <w:rsid w:val="4F3D70A6"/>
    <w:rsid w:val="50724B2D"/>
    <w:rsid w:val="52E53CDC"/>
    <w:rsid w:val="549F173E"/>
    <w:rsid w:val="574D0F0E"/>
    <w:rsid w:val="582F5EE5"/>
    <w:rsid w:val="583077A8"/>
    <w:rsid w:val="5AEB5C08"/>
    <w:rsid w:val="5C45759A"/>
    <w:rsid w:val="619F14FA"/>
    <w:rsid w:val="61BE8A9B"/>
    <w:rsid w:val="620121B5"/>
    <w:rsid w:val="62562501"/>
    <w:rsid w:val="62570027"/>
    <w:rsid w:val="628C1A7E"/>
    <w:rsid w:val="644545DB"/>
    <w:rsid w:val="64CC6AAA"/>
    <w:rsid w:val="65A74E21"/>
    <w:rsid w:val="67B11F87"/>
    <w:rsid w:val="68E87C2B"/>
    <w:rsid w:val="69BA3375"/>
    <w:rsid w:val="6B3F72D8"/>
    <w:rsid w:val="6BC02799"/>
    <w:rsid w:val="6CC4450B"/>
    <w:rsid w:val="6D2C7A65"/>
    <w:rsid w:val="6DDF4538"/>
    <w:rsid w:val="71B63E18"/>
    <w:rsid w:val="7315161C"/>
    <w:rsid w:val="73337CF4"/>
    <w:rsid w:val="756B5E6B"/>
    <w:rsid w:val="78D87374"/>
    <w:rsid w:val="791660EE"/>
    <w:rsid w:val="7AF406B1"/>
    <w:rsid w:val="7B9E49E5"/>
    <w:rsid w:val="7BCC0CE6"/>
    <w:rsid w:val="7CBA4FE2"/>
    <w:rsid w:val="7DAF266D"/>
    <w:rsid w:val="7E140290"/>
    <w:rsid w:val="7FDD34C2"/>
    <w:rsid w:val="7FDD41D0"/>
    <w:rsid w:val="AFF33B9B"/>
    <w:rsid w:val="B71ABD60"/>
    <w:rsid w:val="BF77D358"/>
    <w:rsid w:val="DBFD5622"/>
    <w:rsid w:val="DFC23E58"/>
    <w:rsid w:val="EF3FEC68"/>
    <w:rsid w:val="F66930E3"/>
    <w:rsid w:val="FBE724BF"/>
    <w:rsid w:val="FF9F9E7F"/>
    <w:rsid w:val="FFF7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8">
    <w:name w:val="页脚 Char"/>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亿库科技</Company>
  <Pages>2</Pages>
  <Words>108</Words>
  <Characters>616</Characters>
  <Lines>5</Lines>
  <Paragraphs>1</Paragraphs>
  <TotalTime>0</TotalTime>
  <ScaleCrop>false</ScaleCrop>
  <LinksUpToDate>false</LinksUpToDate>
  <CharactersWithSpaces>723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2021-07-30T16:03:00Z</dcterms:created>
  <dc:creator>greatwall</dc:creator>
  <cp:lastModifiedBy>柏雪</cp:lastModifiedBy>
  <dcterms:modified xsi:type="dcterms:W3CDTF">2024-02-28T08:25:50Z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CF6EE356002A4854BC3EC7DF7FB8C0FB</vt:lpwstr>
  </property>
</Properties>
</file>