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b/>
          <w:bCs w:val="0"/>
          <w:sz w:val="32"/>
          <w:szCs w:val="30"/>
        </w:rPr>
      </w:pPr>
      <w:r>
        <w:rPr>
          <w:rFonts w:hint="eastAsia" w:ascii="宋体" w:hAnsi="宋体"/>
          <w:b/>
          <w:bCs w:val="0"/>
          <w:sz w:val="32"/>
          <w:szCs w:val="30"/>
        </w:rPr>
        <w:t>黄石市低压成套开关设备和控制设备产品质量</w:t>
      </w:r>
    </w:p>
    <w:p>
      <w:pPr>
        <w:spacing w:line="440" w:lineRule="exact"/>
        <w:jc w:val="center"/>
        <w:rPr>
          <w:rFonts w:hint="eastAsia" w:ascii="宋体" w:hAnsi="宋体"/>
          <w:b/>
          <w:bCs w:val="0"/>
          <w:sz w:val="32"/>
          <w:szCs w:val="30"/>
        </w:rPr>
      </w:pPr>
      <w:r>
        <w:rPr>
          <w:rFonts w:hint="eastAsia" w:ascii="宋体" w:hAnsi="宋体"/>
          <w:b/>
          <w:bCs w:val="0"/>
          <w:sz w:val="32"/>
          <w:szCs w:val="30"/>
        </w:rPr>
        <w:t>监督抽查实施细则</w:t>
      </w:r>
    </w:p>
    <w:p>
      <w:pPr>
        <w:spacing w:line="440" w:lineRule="exact"/>
        <w:jc w:val="center"/>
        <w:rPr>
          <w:rFonts w:hint="eastAsia" w:ascii="黑体" w:hAnsi="黑体" w:eastAsia="黑体" w:cs="黑体"/>
          <w:sz w:val="28"/>
          <w:szCs w:val="28"/>
        </w:rPr>
      </w:pPr>
      <w:r>
        <w:rPr>
          <w:rFonts w:hint="eastAsia" w:ascii="宋体" w:hAnsi="宋体" w:cstheme="minorBidi"/>
          <w:b/>
          <w:bCs w:val="0"/>
          <w:sz w:val="32"/>
          <w:szCs w:val="30"/>
          <w:lang w:eastAsia="zh-CN"/>
        </w:rPr>
        <w:t>（</w:t>
      </w:r>
      <w:r>
        <w:rPr>
          <w:rFonts w:hint="eastAsia" w:ascii="宋体" w:hAnsi="宋体" w:eastAsiaTheme="minorEastAsia" w:cstheme="minorBidi"/>
          <w:b/>
          <w:bCs w:val="0"/>
          <w:sz w:val="32"/>
          <w:szCs w:val="30"/>
        </w:rPr>
        <w:t>202</w:t>
      </w:r>
      <w:r>
        <w:rPr>
          <w:rFonts w:hint="eastAsia" w:ascii="宋体" w:hAnsi="宋体" w:cstheme="minorBidi"/>
          <w:b/>
          <w:bCs w:val="0"/>
          <w:sz w:val="32"/>
          <w:szCs w:val="30"/>
          <w:lang w:val="en-US" w:eastAsia="zh-CN"/>
        </w:rPr>
        <w:t>4</w:t>
      </w:r>
      <w:r>
        <w:rPr>
          <w:rFonts w:hint="eastAsia" w:ascii="宋体" w:hAnsi="宋体" w:eastAsiaTheme="minorEastAsia" w:cstheme="minorBidi"/>
          <w:b/>
          <w:bCs w:val="0"/>
          <w:sz w:val="32"/>
          <w:szCs w:val="30"/>
        </w:rPr>
        <w:t>年</w:t>
      </w:r>
      <w:r>
        <w:rPr>
          <w:rFonts w:hint="eastAsia" w:ascii="宋体" w:hAnsi="宋体" w:cstheme="minorBidi"/>
          <w:b/>
          <w:bCs w:val="0"/>
          <w:sz w:val="32"/>
          <w:szCs w:val="30"/>
          <w:lang w:val="en-US" w:eastAsia="zh-CN"/>
        </w:rPr>
        <w:t>版</w:t>
      </w:r>
      <w:r>
        <w:rPr>
          <w:rFonts w:hint="eastAsia" w:ascii="宋体" w:hAnsi="宋体" w:cstheme="minorBidi"/>
          <w:b/>
          <w:bCs w:val="0"/>
          <w:sz w:val="32"/>
          <w:szCs w:val="30"/>
          <w:lang w:eastAsia="zh-CN"/>
        </w:rPr>
        <w:t>）</w:t>
      </w:r>
    </w:p>
    <w:p>
      <w:pPr>
        <w:jc w:val="both"/>
        <w:rPr>
          <w:rFonts w:hint="eastAsia" w:ascii="黑体" w:hAnsi="黑体" w:eastAsia="黑体" w:cs="黑体"/>
          <w:sz w:val="28"/>
          <w:szCs w:val="28"/>
        </w:rPr>
      </w:pPr>
    </w:p>
    <w:p>
      <w:pPr>
        <w:numPr>
          <w:ilvl w:val="0"/>
          <w:numId w:val="1"/>
        </w:numPr>
        <w:rPr>
          <w:rFonts w:hint="eastAsia" w:ascii="黑体" w:hAnsi="黑体" w:eastAsia="黑体" w:cs="黑体"/>
          <w:b/>
          <w:bCs/>
          <w:sz w:val="24"/>
          <w:szCs w:val="24"/>
        </w:rPr>
      </w:pPr>
      <w:r>
        <w:rPr>
          <w:rFonts w:hint="eastAsia" w:ascii="黑体" w:hAnsi="黑体" w:eastAsia="黑体" w:cs="黑体"/>
          <w:b/>
          <w:bCs/>
          <w:sz w:val="24"/>
          <w:szCs w:val="24"/>
        </w:rPr>
        <w:t>抽样方法</w:t>
      </w:r>
    </w:p>
    <w:p>
      <w:pPr>
        <w:snapToGrid w:val="0"/>
        <w:spacing w:line="440" w:lineRule="exact"/>
        <w:ind w:firstLine="420" w:firstLineChars="200"/>
        <w:rPr>
          <w:szCs w:val="21"/>
        </w:rPr>
      </w:pPr>
      <w:r>
        <w:rPr>
          <w:szCs w:val="21"/>
        </w:rPr>
        <w:t>以随机抽样的方式在被抽样生产者、销售者的待销产品中抽取。</w:t>
      </w:r>
    </w:p>
    <w:p>
      <w:pPr>
        <w:snapToGrid w:val="0"/>
        <w:spacing w:line="440" w:lineRule="exact"/>
        <w:ind w:firstLine="420" w:firstLineChars="200"/>
        <w:rPr>
          <w:rFonts w:hint="eastAsia" w:ascii="宋体" w:hAnsi="宋体"/>
          <w:szCs w:val="21"/>
          <w:lang w:val="en-US" w:eastAsia="zh-CN"/>
        </w:rPr>
      </w:pPr>
      <w:r>
        <w:rPr>
          <w:szCs w:val="21"/>
        </w:rPr>
        <w:t>随机数一般可使用随机数表等方法产生。</w:t>
      </w:r>
    </w:p>
    <w:p>
      <w:pPr>
        <w:snapToGrid w:val="0"/>
        <w:spacing w:line="440" w:lineRule="exact"/>
        <w:ind w:firstLine="420" w:firstLineChars="200"/>
        <w:rPr>
          <w:rFonts w:hint="eastAsia" w:ascii="宋体" w:hAnsi="宋体"/>
          <w:szCs w:val="21"/>
        </w:rPr>
      </w:pPr>
      <w:r>
        <w:rPr>
          <w:rFonts w:hint="eastAsia" w:ascii="宋体" w:hAnsi="宋体"/>
          <w:szCs w:val="21"/>
          <w:lang w:val="en-US" w:eastAsia="zh-CN"/>
        </w:rPr>
        <w:t>随机抽取2台样品，其中1台为检验样品，1台为备检样品。</w:t>
      </w:r>
    </w:p>
    <w:p>
      <w:pPr>
        <w:numPr>
          <w:ilvl w:val="0"/>
          <w:numId w:val="1"/>
        </w:numPr>
        <w:rPr>
          <w:rFonts w:hint="eastAsia" w:ascii="黑体" w:hAnsi="黑体" w:eastAsia="黑体" w:cs="黑体"/>
          <w:b/>
          <w:bCs/>
          <w:sz w:val="24"/>
          <w:szCs w:val="24"/>
        </w:rPr>
      </w:pPr>
      <w:r>
        <w:rPr>
          <w:rFonts w:hint="eastAsia" w:ascii="黑体" w:hAnsi="黑体" w:eastAsia="黑体" w:cs="黑体"/>
          <w:b/>
          <w:bCs/>
          <w:sz w:val="24"/>
          <w:szCs w:val="24"/>
        </w:rPr>
        <w:t>检验依据</w:t>
      </w:r>
    </w:p>
    <w:p>
      <w:pPr>
        <w:snapToGrid w:val="0"/>
        <w:spacing w:line="440" w:lineRule="exact"/>
        <w:ind w:firstLine="417" w:firstLineChars="199"/>
        <w:jc w:val="center"/>
        <w:rPr>
          <w:rFonts w:hint="eastAsia" w:ascii="宋体" w:hAnsi="宋体"/>
          <w:szCs w:val="21"/>
        </w:rPr>
      </w:pPr>
      <w:r>
        <w:rPr>
          <w:rFonts w:hint="eastAsia" w:ascii="宋体" w:hAnsi="宋体"/>
          <w:szCs w:val="21"/>
        </w:rPr>
        <w:t>表1 低压成套开关设备</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2090"/>
        <w:gridCol w:w="2729"/>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blHeader/>
          <w:jc w:val="center"/>
        </w:trPr>
        <w:tc>
          <w:tcPr>
            <w:tcW w:w="0" w:type="auto"/>
            <w:vMerge w:val="restart"/>
            <w:noWrap w:val="0"/>
            <w:vAlign w:val="center"/>
          </w:tcPr>
          <w:p>
            <w:pPr>
              <w:widowControl/>
              <w:spacing w:line="240" w:lineRule="auto"/>
              <w:jc w:val="center"/>
              <w:rPr>
                <w:rFonts w:ascii="宋体" w:hAnsi="宋体" w:cs="宋体"/>
                <w:b/>
                <w:kern w:val="0"/>
                <w:szCs w:val="21"/>
              </w:rPr>
            </w:pPr>
            <w:r>
              <w:rPr>
                <w:rFonts w:hint="eastAsia" w:ascii="宋体" w:hAnsi="宋体" w:cs="宋体"/>
                <w:b/>
                <w:kern w:val="0"/>
                <w:szCs w:val="21"/>
              </w:rPr>
              <w:t>序号</w:t>
            </w:r>
          </w:p>
        </w:tc>
        <w:tc>
          <w:tcPr>
            <w:tcW w:w="1226" w:type="pct"/>
            <w:vMerge w:val="restart"/>
            <w:noWrap w:val="0"/>
            <w:vAlign w:val="center"/>
          </w:tcPr>
          <w:p>
            <w:pPr>
              <w:widowControl/>
              <w:spacing w:line="240" w:lineRule="auto"/>
              <w:jc w:val="center"/>
              <w:rPr>
                <w:rFonts w:ascii="宋体" w:hAnsi="宋体" w:cs="宋体"/>
                <w:b/>
                <w:kern w:val="0"/>
                <w:szCs w:val="21"/>
              </w:rPr>
            </w:pPr>
            <w:r>
              <w:rPr>
                <w:rFonts w:hint="eastAsia" w:ascii="宋体" w:hAnsi="宋体" w:cs="宋体"/>
                <w:b/>
                <w:kern w:val="0"/>
                <w:szCs w:val="21"/>
              </w:rPr>
              <w:t>检验项目</w:t>
            </w:r>
          </w:p>
        </w:tc>
        <w:tc>
          <w:tcPr>
            <w:tcW w:w="1601" w:type="pct"/>
            <w:vMerge w:val="restart"/>
            <w:noWrap w:val="0"/>
            <w:vAlign w:val="center"/>
          </w:tcPr>
          <w:p>
            <w:pPr>
              <w:widowControl/>
              <w:spacing w:line="240" w:lineRule="auto"/>
              <w:jc w:val="center"/>
              <w:rPr>
                <w:rFonts w:ascii="宋体" w:hAnsi="宋体" w:cs="宋体"/>
                <w:b/>
                <w:kern w:val="0"/>
                <w:szCs w:val="21"/>
              </w:rPr>
            </w:pPr>
            <w:r>
              <w:rPr>
                <w:rFonts w:hint="eastAsia" w:ascii="宋体" w:hAnsi="宋体" w:cs="宋体"/>
                <w:b/>
                <w:kern w:val="0"/>
                <w:szCs w:val="21"/>
                <w:lang w:eastAsia="zh-CN"/>
              </w:rPr>
              <w:t>检验依据</w:t>
            </w:r>
          </w:p>
        </w:tc>
        <w:tc>
          <w:tcPr>
            <w:tcW w:w="1344" w:type="pct"/>
            <w:vMerge w:val="restart"/>
            <w:noWrap w:val="0"/>
            <w:vAlign w:val="center"/>
          </w:tcPr>
          <w:p>
            <w:pPr>
              <w:widowControl/>
              <w:spacing w:line="240" w:lineRule="auto"/>
              <w:jc w:val="center"/>
              <w:rPr>
                <w:rFonts w:hint="eastAsia" w:ascii="宋体" w:hAnsi="宋体" w:cs="宋体" w:eastAsiaTheme="minorEastAsia"/>
                <w:b/>
                <w:kern w:val="0"/>
                <w:szCs w:val="21"/>
                <w:lang w:eastAsia="zh-CN"/>
              </w:rPr>
            </w:pPr>
            <w:r>
              <w:rPr>
                <w:rFonts w:hint="eastAsia" w:ascii="宋体" w:hAnsi="宋体" w:cs="宋体"/>
                <w:b/>
                <w:kern w:val="0"/>
                <w:szCs w:val="21"/>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0" w:type="auto"/>
            <w:vMerge w:val="continue"/>
            <w:noWrap w:val="0"/>
            <w:vAlign w:val="center"/>
          </w:tcPr>
          <w:p>
            <w:pPr>
              <w:widowControl/>
              <w:spacing w:line="240" w:lineRule="auto"/>
              <w:jc w:val="center"/>
              <w:rPr>
                <w:rFonts w:ascii="宋体" w:hAnsi="宋体" w:cs="宋体"/>
                <w:b/>
                <w:kern w:val="0"/>
                <w:szCs w:val="21"/>
              </w:rPr>
            </w:pPr>
          </w:p>
        </w:tc>
        <w:tc>
          <w:tcPr>
            <w:tcW w:w="1226" w:type="pct"/>
            <w:vMerge w:val="continue"/>
            <w:noWrap w:val="0"/>
            <w:vAlign w:val="center"/>
          </w:tcPr>
          <w:p>
            <w:pPr>
              <w:widowControl/>
              <w:spacing w:line="240" w:lineRule="auto"/>
              <w:jc w:val="center"/>
              <w:rPr>
                <w:rFonts w:ascii="宋体" w:hAnsi="宋体" w:cs="宋体"/>
                <w:b/>
                <w:kern w:val="0"/>
                <w:szCs w:val="21"/>
              </w:rPr>
            </w:pPr>
          </w:p>
        </w:tc>
        <w:tc>
          <w:tcPr>
            <w:tcW w:w="1601" w:type="pct"/>
            <w:vMerge w:val="continue"/>
            <w:noWrap w:val="0"/>
            <w:vAlign w:val="center"/>
          </w:tcPr>
          <w:p>
            <w:pPr>
              <w:widowControl/>
              <w:spacing w:line="240" w:lineRule="auto"/>
              <w:jc w:val="center"/>
              <w:rPr>
                <w:rFonts w:ascii="宋体" w:hAnsi="宋体" w:cs="宋体"/>
                <w:b/>
                <w:kern w:val="0"/>
                <w:szCs w:val="21"/>
              </w:rPr>
            </w:pPr>
          </w:p>
        </w:tc>
        <w:tc>
          <w:tcPr>
            <w:tcW w:w="1344" w:type="pct"/>
            <w:vMerge w:val="continue"/>
            <w:noWrap w:val="0"/>
            <w:vAlign w:val="center"/>
          </w:tcPr>
          <w:p>
            <w:pPr>
              <w:widowControl/>
              <w:spacing w:line="240" w:lineRule="auto"/>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0" w:type="auto"/>
            <w:noWrap w:val="0"/>
            <w:vAlign w:val="center"/>
          </w:tcPr>
          <w:p>
            <w:pPr>
              <w:widowControl/>
              <w:spacing w:line="240" w:lineRule="auto"/>
              <w:jc w:val="center"/>
              <w:rPr>
                <w:rFonts w:ascii="宋体" w:hAnsi="宋体" w:cs="宋体"/>
                <w:kern w:val="0"/>
                <w:szCs w:val="21"/>
              </w:rPr>
            </w:pPr>
            <w:r>
              <w:rPr>
                <w:rFonts w:hint="eastAsia" w:ascii="宋体" w:hAnsi="宋体" w:cs="宋体"/>
                <w:kern w:val="0"/>
                <w:szCs w:val="21"/>
              </w:rPr>
              <w:t>1</w:t>
            </w:r>
          </w:p>
        </w:tc>
        <w:tc>
          <w:tcPr>
            <w:tcW w:w="1226" w:type="pct"/>
            <w:noWrap w:val="0"/>
            <w:vAlign w:val="center"/>
          </w:tcPr>
          <w:p>
            <w:pPr>
              <w:widowControl/>
              <w:spacing w:line="240" w:lineRule="auto"/>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一般检查</w:t>
            </w:r>
          </w:p>
        </w:tc>
        <w:tc>
          <w:tcPr>
            <w:tcW w:w="1601" w:type="pct"/>
            <w:noWrap w:val="0"/>
            <w:vAlign w:val="center"/>
          </w:tcPr>
          <w:p>
            <w:pPr>
              <w:widowControl/>
              <w:spacing w:line="240" w:lineRule="auto"/>
              <w:jc w:val="center"/>
              <w:rPr>
                <w:rFonts w:hint="default" w:ascii="宋体" w:hAnsi="宋体" w:cs="宋体" w:eastAsiaTheme="minorEastAsia"/>
                <w:kern w:val="0"/>
                <w:szCs w:val="21"/>
                <w:lang w:val="en-US" w:eastAsia="zh-CN"/>
              </w:rPr>
            </w:pPr>
            <w:r>
              <w:rPr>
                <w:rFonts w:hint="eastAsia" w:ascii="宋体" w:hAnsi="宋体"/>
                <w:szCs w:val="21"/>
                <w:lang w:eastAsia="zh-CN"/>
              </w:rPr>
              <w:t>GB/T 7251</w:t>
            </w:r>
            <w:r>
              <w:rPr>
                <w:rFonts w:hint="eastAsia" w:ascii="宋体" w:hAnsi="宋体"/>
                <w:szCs w:val="21"/>
                <w:lang w:val="en-US" w:eastAsia="zh-CN"/>
              </w:rPr>
              <w:t>.2-2023</w:t>
            </w:r>
          </w:p>
        </w:tc>
        <w:tc>
          <w:tcPr>
            <w:tcW w:w="1344" w:type="pct"/>
            <w:noWrap w:val="0"/>
            <w:vAlign w:val="center"/>
          </w:tcPr>
          <w:p>
            <w:pPr>
              <w:widowControl/>
              <w:spacing w:line="240" w:lineRule="auto"/>
              <w:jc w:val="center"/>
              <w:rPr>
                <w:rFonts w:hint="eastAsia" w:ascii="宋体" w:hAnsi="宋体"/>
                <w:szCs w:val="21"/>
                <w:lang w:eastAsia="zh-CN"/>
              </w:rPr>
            </w:pPr>
            <w:r>
              <w:rPr>
                <w:rFonts w:hint="eastAsia" w:ascii="宋体" w:hAnsi="宋体"/>
                <w:szCs w:val="21"/>
                <w:lang w:eastAsia="zh-CN"/>
              </w:rPr>
              <w:t>GB/T 7251</w:t>
            </w:r>
            <w:r>
              <w:rPr>
                <w:rFonts w:hint="eastAsia" w:ascii="宋体" w:hAnsi="宋体"/>
                <w:szCs w:val="21"/>
                <w:lang w:val="en-US" w:eastAsia="zh-CN"/>
              </w:rPr>
              <w:t>.2-2023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0" w:type="auto"/>
            <w:noWrap w:val="0"/>
            <w:vAlign w:val="center"/>
          </w:tcPr>
          <w:p>
            <w:pPr>
              <w:widowControl/>
              <w:spacing w:line="240" w:lineRule="auto"/>
              <w:jc w:val="center"/>
              <w:rPr>
                <w:rFonts w:ascii="宋体" w:hAnsi="宋体" w:cs="宋体"/>
                <w:kern w:val="0"/>
                <w:szCs w:val="21"/>
              </w:rPr>
            </w:pPr>
            <w:r>
              <w:rPr>
                <w:rFonts w:hint="eastAsia" w:ascii="宋体" w:hAnsi="宋体" w:cs="宋体"/>
                <w:kern w:val="0"/>
                <w:szCs w:val="21"/>
              </w:rPr>
              <w:t>2</w:t>
            </w:r>
          </w:p>
        </w:tc>
        <w:tc>
          <w:tcPr>
            <w:tcW w:w="1226" w:type="pct"/>
            <w:noWrap w:val="0"/>
            <w:vAlign w:val="center"/>
          </w:tcPr>
          <w:p>
            <w:pPr>
              <w:widowControl/>
              <w:spacing w:line="240" w:lineRule="auto"/>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外观检查</w:t>
            </w:r>
          </w:p>
        </w:tc>
        <w:tc>
          <w:tcPr>
            <w:tcW w:w="1601" w:type="pct"/>
            <w:noWrap w:val="0"/>
            <w:vAlign w:val="center"/>
          </w:tcPr>
          <w:p>
            <w:pPr>
              <w:widowControl/>
              <w:spacing w:line="240" w:lineRule="auto"/>
              <w:jc w:val="center"/>
              <w:rPr>
                <w:rFonts w:hint="eastAsia" w:ascii="宋体" w:hAnsi="宋体" w:cs="宋体" w:eastAsiaTheme="minorEastAsia"/>
                <w:kern w:val="0"/>
                <w:szCs w:val="21"/>
                <w:lang w:eastAsia="zh-CN"/>
              </w:rPr>
            </w:pPr>
            <w:r>
              <w:rPr>
                <w:rFonts w:hint="eastAsia" w:ascii="宋体" w:hAnsi="宋体"/>
                <w:szCs w:val="21"/>
                <w:lang w:eastAsia="zh-CN"/>
              </w:rPr>
              <w:t>GB/T 7251</w:t>
            </w:r>
            <w:r>
              <w:rPr>
                <w:rFonts w:hint="eastAsia" w:ascii="宋体" w:hAnsi="宋体"/>
                <w:szCs w:val="21"/>
                <w:lang w:val="en-US" w:eastAsia="zh-CN"/>
              </w:rPr>
              <w:t>.2-2023</w:t>
            </w:r>
          </w:p>
        </w:tc>
        <w:tc>
          <w:tcPr>
            <w:tcW w:w="1344" w:type="pct"/>
            <w:noWrap w:val="0"/>
            <w:vAlign w:val="center"/>
          </w:tcPr>
          <w:p>
            <w:pPr>
              <w:widowControl/>
              <w:spacing w:line="240" w:lineRule="auto"/>
              <w:jc w:val="center"/>
              <w:rPr>
                <w:rFonts w:hint="eastAsia" w:ascii="宋体" w:hAnsi="宋体"/>
                <w:szCs w:val="21"/>
                <w:lang w:eastAsia="zh-CN"/>
              </w:rPr>
            </w:pPr>
            <w:r>
              <w:rPr>
                <w:rFonts w:hint="eastAsia" w:ascii="宋体" w:hAnsi="宋体"/>
                <w:szCs w:val="21"/>
                <w:lang w:eastAsia="zh-CN"/>
              </w:rPr>
              <w:t>GB/T 7251</w:t>
            </w:r>
            <w:r>
              <w:rPr>
                <w:rFonts w:hint="eastAsia" w:ascii="宋体" w:hAnsi="宋体"/>
                <w:szCs w:val="21"/>
                <w:lang w:val="en-US" w:eastAsia="zh-CN"/>
              </w:rPr>
              <w:t>.2-2023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0" w:type="auto"/>
            <w:noWrap w:val="0"/>
            <w:vAlign w:val="center"/>
          </w:tcPr>
          <w:p>
            <w:pPr>
              <w:widowControl/>
              <w:spacing w:line="240" w:lineRule="auto"/>
              <w:jc w:val="center"/>
              <w:rPr>
                <w:rFonts w:ascii="宋体" w:hAnsi="宋体" w:cs="宋体"/>
                <w:kern w:val="0"/>
                <w:szCs w:val="21"/>
              </w:rPr>
            </w:pPr>
            <w:r>
              <w:rPr>
                <w:rFonts w:hint="eastAsia" w:ascii="宋体" w:hAnsi="宋体" w:cs="宋体"/>
                <w:kern w:val="0"/>
                <w:szCs w:val="21"/>
              </w:rPr>
              <w:t>3</w:t>
            </w:r>
          </w:p>
        </w:tc>
        <w:tc>
          <w:tcPr>
            <w:tcW w:w="1226" w:type="pct"/>
            <w:noWrap w:val="0"/>
            <w:vAlign w:val="center"/>
          </w:tcPr>
          <w:p>
            <w:pPr>
              <w:widowControl/>
              <w:spacing w:line="240" w:lineRule="auto"/>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防腐蚀性</w:t>
            </w:r>
          </w:p>
        </w:tc>
        <w:tc>
          <w:tcPr>
            <w:tcW w:w="1601" w:type="pct"/>
            <w:noWrap w:val="0"/>
            <w:vAlign w:val="center"/>
          </w:tcPr>
          <w:p>
            <w:pPr>
              <w:widowControl/>
              <w:spacing w:line="240" w:lineRule="auto"/>
              <w:jc w:val="center"/>
              <w:rPr>
                <w:rFonts w:hint="eastAsia" w:ascii="宋体" w:hAnsi="宋体" w:cs="宋体" w:eastAsiaTheme="minorEastAsia"/>
                <w:kern w:val="0"/>
                <w:szCs w:val="21"/>
                <w:lang w:eastAsia="zh-CN"/>
              </w:rPr>
            </w:pPr>
            <w:r>
              <w:rPr>
                <w:rFonts w:hint="eastAsia" w:ascii="宋体" w:hAnsi="宋体"/>
                <w:szCs w:val="21"/>
                <w:lang w:eastAsia="zh-CN"/>
              </w:rPr>
              <w:t>GB/T 7251</w:t>
            </w:r>
            <w:r>
              <w:rPr>
                <w:rFonts w:hint="eastAsia" w:ascii="宋体" w:hAnsi="宋体"/>
                <w:szCs w:val="21"/>
                <w:lang w:val="en-US" w:eastAsia="zh-CN"/>
              </w:rPr>
              <w:t>.2-2023</w:t>
            </w:r>
          </w:p>
        </w:tc>
        <w:tc>
          <w:tcPr>
            <w:tcW w:w="1344" w:type="pct"/>
            <w:noWrap w:val="0"/>
            <w:vAlign w:val="center"/>
          </w:tcPr>
          <w:p>
            <w:pPr>
              <w:widowControl/>
              <w:spacing w:line="240" w:lineRule="auto"/>
              <w:jc w:val="center"/>
              <w:rPr>
                <w:rFonts w:hint="eastAsia" w:ascii="宋体" w:hAnsi="宋体"/>
                <w:szCs w:val="21"/>
                <w:lang w:eastAsia="zh-CN"/>
              </w:rPr>
            </w:pPr>
            <w:r>
              <w:rPr>
                <w:rFonts w:hint="eastAsia" w:ascii="宋体" w:hAnsi="宋体"/>
                <w:szCs w:val="21"/>
                <w:lang w:eastAsia="zh-CN"/>
              </w:rPr>
              <w:t>GB/T 7251</w:t>
            </w:r>
            <w:r>
              <w:rPr>
                <w:rFonts w:hint="eastAsia" w:ascii="宋体" w:hAnsi="宋体"/>
                <w:szCs w:val="21"/>
                <w:lang w:val="en-US" w:eastAsia="zh-CN"/>
              </w:rPr>
              <w:t>.2-2023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0" w:type="auto"/>
            <w:noWrap w:val="0"/>
            <w:vAlign w:val="center"/>
          </w:tcPr>
          <w:p>
            <w:pPr>
              <w:widowControl/>
              <w:spacing w:line="240" w:lineRule="auto"/>
              <w:jc w:val="center"/>
              <w:rPr>
                <w:rFonts w:ascii="宋体" w:hAnsi="宋体" w:cs="宋体"/>
                <w:kern w:val="0"/>
                <w:szCs w:val="21"/>
              </w:rPr>
            </w:pPr>
            <w:r>
              <w:rPr>
                <w:rFonts w:hint="eastAsia" w:ascii="宋体" w:hAnsi="宋体" w:cs="宋体"/>
                <w:kern w:val="0"/>
                <w:szCs w:val="21"/>
              </w:rPr>
              <w:t>4</w:t>
            </w:r>
          </w:p>
        </w:tc>
        <w:tc>
          <w:tcPr>
            <w:tcW w:w="1226" w:type="pct"/>
            <w:noWrap w:val="0"/>
            <w:vAlign w:val="center"/>
          </w:tcPr>
          <w:p>
            <w:pPr>
              <w:widowControl/>
              <w:spacing w:line="240" w:lineRule="auto"/>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机械强度</w:t>
            </w:r>
          </w:p>
        </w:tc>
        <w:tc>
          <w:tcPr>
            <w:tcW w:w="1601" w:type="pct"/>
            <w:noWrap w:val="0"/>
            <w:vAlign w:val="center"/>
          </w:tcPr>
          <w:p>
            <w:pPr>
              <w:widowControl/>
              <w:spacing w:line="240" w:lineRule="auto"/>
              <w:jc w:val="center"/>
              <w:rPr>
                <w:rFonts w:hint="eastAsia" w:ascii="宋体" w:hAnsi="宋体" w:cs="宋体" w:eastAsiaTheme="minorEastAsia"/>
                <w:kern w:val="0"/>
                <w:szCs w:val="21"/>
                <w:lang w:eastAsia="zh-CN"/>
              </w:rPr>
            </w:pPr>
            <w:r>
              <w:rPr>
                <w:rFonts w:hint="eastAsia" w:ascii="宋体" w:hAnsi="宋体"/>
                <w:szCs w:val="21"/>
                <w:lang w:eastAsia="zh-CN"/>
              </w:rPr>
              <w:t>GB/T 7251</w:t>
            </w:r>
            <w:r>
              <w:rPr>
                <w:rFonts w:hint="eastAsia" w:ascii="宋体" w:hAnsi="宋体"/>
                <w:szCs w:val="21"/>
                <w:lang w:val="en-US" w:eastAsia="zh-CN"/>
              </w:rPr>
              <w:t>.2-2023</w:t>
            </w:r>
          </w:p>
        </w:tc>
        <w:tc>
          <w:tcPr>
            <w:tcW w:w="1344" w:type="pct"/>
            <w:noWrap w:val="0"/>
            <w:vAlign w:val="center"/>
          </w:tcPr>
          <w:p>
            <w:pPr>
              <w:widowControl/>
              <w:spacing w:line="240" w:lineRule="auto"/>
              <w:jc w:val="center"/>
              <w:rPr>
                <w:rFonts w:hint="eastAsia" w:ascii="宋体" w:hAnsi="宋体"/>
                <w:szCs w:val="21"/>
                <w:lang w:eastAsia="zh-CN"/>
              </w:rPr>
            </w:pPr>
            <w:r>
              <w:rPr>
                <w:rFonts w:hint="eastAsia" w:ascii="宋体" w:hAnsi="宋体"/>
                <w:szCs w:val="21"/>
                <w:lang w:eastAsia="zh-CN"/>
              </w:rPr>
              <w:t>GB/T 7251</w:t>
            </w:r>
            <w:r>
              <w:rPr>
                <w:rFonts w:hint="eastAsia" w:ascii="宋体" w:hAnsi="宋体"/>
                <w:szCs w:val="21"/>
                <w:lang w:val="en-US" w:eastAsia="zh-CN"/>
              </w:rPr>
              <w:t>.2-2023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noWrap w:val="0"/>
            <w:vAlign w:val="center"/>
          </w:tcPr>
          <w:p>
            <w:pPr>
              <w:widowControl/>
              <w:spacing w:line="240" w:lineRule="auto"/>
              <w:jc w:val="center"/>
              <w:rPr>
                <w:rFonts w:ascii="宋体" w:hAnsi="宋体" w:cs="宋体"/>
                <w:kern w:val="0"/>
                <w:szCs w:val="21"/>
              </w:rPr>
            </w:pPr>
            <w:r>
              <w:rPr>
                <w:rFonts w:hint="eastAsia" w:ascii="宋体" w:hAnsi="宋体" w:cs="宋体"/>
                <w:kern w:val="0"/>
                <w:szCs w:val="21"/>
              </w:rPr>
              <w:t>5</w:t>
            </w:r>
          </w:p>
        </w:tc>
        <w:tc>
          <w:tcPr>
            <w:tcW w:w="1226" w:type="pct"/>
            <w:noWrap w:val="0"/>
            <w:vAlign w:val="center"/>
          </w:tcPr>
          <w:p>
            <w:pPr>
              <w:widowControl/>
              <w:spacing w:line="240" w:lineRule="auto"/>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标识完整性</w:t>
            </w:r>
          </w:p>
        </w:tc>
        <w:tc>
          <w:tcPr>
            <w:tcW w:w="1601" w:type="pct"/>
            <w:noWrap w:val="0"/>
            <w:vAlign w:val="center"/>
          </w:tcPr>
          <w:p>
            <w:pPr>
              <w:widowControl/>
              <w:spacing w:line="240" w:lineRule="auto"/>
              <w:jc w:val="center"/>
              <w:rPr>
                <w:rFonts w:hint="default" w:ascii="宋体" w:hAnsi="宋体" w:cs="宋体" w:eastAsiaTheme="minorEastAsia"/>
                <w:kern w:val="0"/>
                <w:sz w:val="21"/>
                <w:szCs w:val="21"/>
                <w:lang w:val="en-US" w:eastAsia="zh-CN" w:bidi="ar-SA"/>
              </w:rPr>
            </w:pPr>
            <w:r>
              <w:rPr>
                <w:rFonts w:hint="eastAsia" w:ascii="宋体" w:hAnsi="宋体"/>
                <w:szCs w:val="21"/>
                <w:lang w:eastAsia="zh-CN"/>
              </w:rPr>
              <w:t>GB/T 7251</w:t>
            </w:r>
            <w:r>
              <w:rPr>
                <w:rFonts w:hint="eastAsia" w:ascii="宋体" w:hAnsi="宋体"/>
                <w:szCs w:val="21"/>
                <w:lang w:val="en-US" w:eastAsia="zh-CN"/>
              </w:rPr>
              <w:t>.2-2023</w:t>
            </w:r>
          </w:p>
        </w:tc>
        <w:tc>
          <w:tcPr>
            <w:tcW w:w="1344" w:type="pct"/>
            <w:noWrap w:val="0"/>
            <w:vAlign w:val="center"/>
          </w:tcPr>
          <w:p>
            <w:pPr>
              <w:widowControl/>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Cs w:val="21"/>
                <w:lang w:eastAsia="zh-CN"/>
              </w:rPr>
              <w:t>GB/T 7251</w:t>
            </w:r>
            <w:r>
              <w:rPr>
                <w:rFonts w:hint="eastAsia" w:ascii="宋体" w:hAnsi="宋体"/>
                <w:szCs w:val="21"/>
                <w:lang w:val="en-US" w:eastAsia="zh-CN"/>
              </w:rPr>
              <w:t>.2-2023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0" w:type="auto"/>
            <w:noWrap w:val="0"/>
            <w:vAlign w:val="center"/>
          </w:tcPr>
          <w:p>
            <w:pPr>
              <w:widowControl/>
              <w:spacing w:line="240" w:lineRule="auto"/>
              <w:jc w:val="center"/>
              <w:rPr>
                <w:rFonts w:ascii="宋体" w:hAnsi="宋体" w:cs="宋体"/>
                <w:kern w:val="0"/>
                <w:szCs w:val="21"/>
              </w:rPr>
            </w:pPr>
            <w:r>
              <w:rPr>
                <w:rFonts w:hint="eastAsia" w:ascii="宋体" w:hAnsi="宋体" w:cs="宋体"/>
                <w:kern w:val="0"/>
                <w:szCs w:val="21"/>
              </w:rPr>
              <w:t>6</w:t>
            </w:r>
          </w:p>
        </w:tc>
        <w:tc>
          <w:tcPr>
            <w:tcW w:w="1226" w:type="pct"/>
            <w:noWrap w:val="0"/>
            <w:vAlign w:val="center"/>
          </w:tcPr>
          <w:p>
            <w:pPr>
              <w:widowControl/>
              <w:spacing w:line="240" w:lineRule="auto"/>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电气间隙和爬电距离</w:t>
            </w:r>
          </w:p>
        </w:tc>
        <w:tc>
          <w:tcPr>
            <w:tcW w:w="1601" w:type="pct"/>
            <w:noWrap w:val="0"/>
            <w:vAlign w:val="center"/>
          </w:tcPr>
          <w:p>
            <w:pPr>
              <w:widowControl/>
              <w:spacing w:line="240" w:lineRule="auto"/>
              <w:jc w:val="center"/>
              <w:rPr>
                <w:rFonts w:hint="eastAsia" w:ascii="宋体" w:hAnsi="宋体" w:cs="宋体" w:eastAsiaTheme="minorEastAsia"/>
                <w:kern w:val="0"/>
                <w:sz w:val="21"/>
                <w:szCs w:val="21"/>
                <w:lang w:val="en-US" w:eastAsia="zh-CN" w:bidi="ar-SA"/>
              </w:rPr>
            </w:pPr>
            <w:r>
              <w:rPr>
                <w:rFonts w:hint="eastAsia" w:ascii="宋体" w:hAnsi="宋体"/>
                <w:szCs w:val="21"/>
                <w:lang w:eastAsia="zh-CN"/>
              </w:rPr>
              <w:t>GB/T 7251</w:t>
            </w:r>
            <w:r>
              <w:rPr>
                <w:rFonts w:hint="eastAsia" w:ascii="宋体" w:hAnsi="宋体"/>
                <w:szCs w:val="21"/>
                <w:lang w:val="en-US" w:eastAsia="zh-CN"/>
              </w:rPr>
              <w:t>.2-2023</w:t>
            </w:r>
          </w:p>
        </w:tc>
        <w:tc>
          <w:tcPr>
            <w:tcW w:w="1344" w:type="pct"/>
            <w:noWrap w:val="0"/>
            <w:vAlign w:val="center"/>
          </w:tcPr>
          <w:p>
            <w:pPr>
              <w:widowControl/>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Cs w:val="21"/>
                <w:lang w:eastAsia="zh-CN"/>
              </w:rPr>
              <w:t>GB/T 7251</w:t>
            </w:r>
            <w:r>
              <w:rPr>
                <w:rFonts w:hint="eastAsia" w:ascii="宋体" w:hAnsi="宋体"/>
                <w:szCs w:val="21"/>
                <w:lang w:val="en-US" w:eastAsia="zh-CN"/>
              </w:rPr>
              <w:t>.1-2023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0" w:type="auto"/>
            <w:noWrap w:val="0"/>
            <w:vAlign w:val="center"/>
          </w:tcPr>
          <w:p>
            <w:pPr>
              <w:widowControl/>
              <w:spacing w:line="240" w:lineRule="auto"/>
              <w:jc w:val="center"/>
              <w:rPr>
                <w:rFonts w:ascii="宋体" w:hAnsi="宋体" w:cs="宋体"/>
                <w:kern w:val="0"/>
                <w:szCs w:val="21"/>
              </w:rPr>
            </w:pPr>
            <w:r>
              <w:rPr>
                <w:rFonts w:hint="eastAsia" w:ascii="宋体" w:hAnsi="宋体" w:cs="宋体"/>
                <w:kern w:val="0"/>
                <w:szCs w:val="21"/>
              </w:rPr>
              <w:t>7</w:t>
            </w:r>
          </w:p>
        </w:tc>
        <w:tc>
          <w:tcPr>
            <w:tcW w:w="1226" w:type="pct"/>
            <w:noWrap w:val="0"/>
            <w:vAlign w:val="center"/>
          </w:tcPr>
          <w:p>
            <w:pPr>
              <w:widowControl/>
              <w:spacing w:line="240" w:lineRule="auto"/>
              <w:jc w:val="center"/>
              <w:rPr>
                <w:rFonts w:ascii="宋体" w:hAnsi="宋体" w:cs="宋体"/>
                <w:kern w:val="0"/>
                <w:szCs w:val="21"/>
              </w:rPr>
            </w:pPr>
            <w:r>
              <w:rPr>
                <w:rFonts w:hint="eastAsia" w:ascii="宋体" w:hAnsi="宋体" w:cs="宋体"/>
                <w:kern w:val="0"/>
                <w:szCs w:val="21"/>
              </w:rPr>
              <w:t>介电性能</w:t>
            </w:r>
          </w:p>
        </w:tc>
        <w:tc>
          <w:tcPr>
            <w:tcW w:w="1601" w:type="pct"/>
            <w:noWrap w:val="0"/>
            <w:vAlign w:val="center"/>
          </w:tcPr>
          <w:p>
            <w:pPr>
              <w:widowControl/>
              <w:spacing w:line="240" w:lineRule="auto"/>
              <w:jc w:val="center"/>
              <w:rPr>
                <w:rFonts w:hint="eastAsia" w:ascii="宋体" w:hAnsi="宋体" w:cs="宋体" w:eastAsiaTheme="minorEastAsia"/>
                <w:kern w:val="0"/>
                <w:sz w:val="21"/>
                <w:szCs w:val="21"/>
                <w:lang w:val="en-US" w:eastAsia="zh-CN" w:bidi="ar-SA"/>
              </w:rPr>
            </w:pPr>
            <w:r>
              <w:rPr>
                <w:rFonts w:hint="eastAsia" w:ascii="宋体" w:hAnsi="宋体"/>
                <w:szCs w:val="21"/>
                <w:lang w:eastAsia="zh-CN"/>
              </w:rPr>
              <w:t>GB/T 7251</w:t>
            </w:r>
            <w:r>
              <w:rPr>
                <w:rFonts w:hint="eastAsia" w:ascii="宋体" w:hAnsi="宋体"/>
                <w:szCs w:val="21"/>
                <w:lang w:val="en-US" w:eastAsia="zh-CN"/>
              </w:rPr>
              <w:t>.2-2023</w:t>
            </w:r>
          </w:p>
        </w:tc>
        <w:tc>
          <w:tcPr>
            <w:tcW w:w="1344" w:type="pct"/>
            <w:noWrap w:val="0"/>
            <w:vAlign w:val="center"/>
          </w:tcPr>
          <w:p>
            <w:pPr>
              <w:widowControl/>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Cs w:val="21"/>
                <w:lang w:eastAsia="zh-CN"/>
              </w:rPr>
              <w:t>GB/T 7251</w:t>
            </w:r>
            <w:r>
              <w:rPr>
                <w:rFonts w:hint="eastAsia" w:ascii="宋体" w:hAnsi="宋体"/>
                <w:szCs w:val="21"/>
                <w:lang w:val="en-US" w:eastAsia="zh-CN"/>
              </w:rPr>
              <w:t>.1-2023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0" w:type="auto"/>
            <w:noWrap w:val="0"/>
            <w:vAlign w:val="center"/>
          </w:tcPr>
          <w:p>
            <w:pPr>
              <w:widowControl/>
              <w:spacing w:line="240" w:lineRule="auto"/>
              <w:jc w:val="center"/>
              <w:rPr>
                <w:rFonts w:ascii="宋体" w:hAnsi="宋体" w:cs="宋体"/>
                <w:kern w:val="0"/>
                <w:szCs w:val="21"/>
              </w:rPr>
            </w:pPr>
            <w:r>
              <w:rPr>
                <w:rFonts w:hint="eastAsia" w:ascii="宋体" w:hAnsi="宋体" w:cs="宋体"/>
                <w:kern w:val="0"/>
                <w:szCs w:val="21"/>
              </w:rPr>
              <w:t>8</w:t>
            </w:r>
          </w:p>
        </w:tc>
        <w:tc>
          <w:tcPr>
            <w:tcW w:w="1226" w:type="pct"/>
            <w:noWrap w:val="0"/>
            <w:vAlign w:val="center"/>
          </w:tcPr>
          <w:p>
            <w:pPr>
              <w:widowControl/>
              <w:spacing w:line="240" w:lineRule="auto"/>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保护电路有效性</w:t>
            </w:r>
          </w:p>
        </w:tc>
        <w:tc>
          <w:tcPr>
            <w:tcW w:w="1601" w:type="pct"/>
            <w:noWrap w:val="0"/>
            <w:vAlign w:val="center"/>
          </w:tcPr>
          <w:p>
            <w:pPr>
              <w:widowControl/>
              <w:spacing w:line="240" w:lineRule="auto"/>
              <w:jc w:val="center"/>
              <w:rPr>
                <w:rFonts w:hint="eastAsia" w:ascii="宋体" w:hAnsi="宋体" w:cs="宋体" w:eastAsiaTheme="minorEastAsia"/>
                <w:kern w:val="0"/>
                <w:sz w:val="21"/>
                <w:szCs w:val="21"/>
                <w:lang w:val="en-US" w:eastAsia="zh-CN" w:bidi="ar-SA"/>
              </w:rPr>
            </w:pPr>
            <w:r>
              <w:rPr>
                <w:rFonts w:hint="eastAsia" w:ascii="宋体" w:hAnsi="宋体"/>
                <w:szCs w:val="21"/>
                <w:lang w:eastAsia="zh-CN"/>
              </w:rPr>
              <w:t>GB/T 7251</w:t>
            </w:r>
            <w:r>
              <w:rPr>
                <w:rFonts w:hint="eastAsia" w:ascii="宋体" w:hAnsi="宋体"/>
                <w:szCs w:val="21"/>
                <w:lang w:val="en-US" w:eastAsia="zh-CN"/>
              </w:rPr>
              <w:t>.2-2023</w:t>
            </w:r>
          </w:p>
        </w:tc>
        <w:tc>
          <w:tcPr>
            <w:tcW w:w="1344" w:type="pct"/>
            <w:noWrap w:val="0"/>
            <w:vAlign w:val="center"/>
          </w:tcPr>
          <w:p>
            <w:pPr>
              <w:widowControl/>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Cs w:val="21"/>
                <w:lang w:eastAsia="zh-CN"/>
              </w:rPr>
              <w:t>GB/T 7251</w:t>
            </w:r>
            <w:r>
              <w:rPr>
                <w:rFonts w:hint="eastAsia" w:ascii="宋体" w:hAnsi="宋体"/>
                <w:szCs w:val="21"/>
                <w:lang w:val="en-US" w:eastAsia="zh-CN"/>
              </w:rPr>
              <w:t>.2-20</w:t>
            </w:r>
            <w:bookmarkStart w:id="0" w:name="_GoBack"/>
            <w:bookmarkEnd w:id="0"/>
            <w:r>
              <w:rPr>
                <w:rFonts w:hint="eastAsia" w:ascii="宋体" w:hAnsi="宋体"/>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widowControl/>
              <w:spacing w:line="440" w:lineRule="exact"/>
              <w:jc w:val="center"/>
              <w:rPr>
                <w:rFonts w:ascii="宋体" w:hAnsi="宋体" w:cs="宋体"/>
                <w:kern w:val="0"/>
                <w:szCs w:val="21"/>
              </w:rPr>
            </w:pPr>
            <w:r>
              <w:rPr>
                <w:rFonts w:hint="eastAsia" w:ascii="宋体" w:hAnsi="宋体" w:cs="宋体"/>
                <w:kern w:val="0"/>
                <w:szCs w:val="21"/>
              </w:rPr>
              <w:t>9</w:t>
            </w:r>
          </w:p>
        </w:tc>
        <w:tc>
          <w:tcPr>
            <w:tcW w:w="1226" w:type="pct"/>
            <w:noWrap w:val="0"/>
            <w:vAlign w:val="center"/>
          </w:tcPr>
          <w:p>
            <w:pPr>
              <w:widowControl/>
              <w:spacing w:line="440" w:lineRule="exact"/>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内装元件的组合</w:t>
            </w:r>
          </w:p>
        </w:tc>
        <w:tc>
          <w:tcPr>
            <w:tcW w:w="1601" w:type="pct"/>
            <w:noWrap w:val="0"/>
            <w:vAlign w:val="center"/>
          </w:tcPr>
          <w:p>
            <w:pPr>
              <w:widowControl/>
              <w:spacing w:line="240" w:lineRule="auto"/>
              <w:jc w:val="center"/>
              <w:rPr>
                <w:rFonts w:hint="eastAsia" w:ascii="宋体" w:hAnsi="宋体" w:cs="宋体" w:eastAsiaTheme="minorEastAsia"/>
                <w:kern w:val="0"/>
                <w:sz w:val="21"/>
                <w:szCs w:val="21"/>
                <w:lang w:val="en-US" w:eastAsia="zh-CN" w:bidi="ar-SA"/>
              </w:rPr>
            </w:pPr>
            <w:r>
              <w:rPr>
                <w:rFonts w:hint="eastAsia" w:ascii="宋体" w:hAnsi="宋体"/>
                <w:szCs w:val="21"/>
                <w:lang w:eastAsia="zh-CN"/>
              </w:rPr>
              <w:t>GB/T 7251</w:t>
            </w:r>
            <w:r>
              <w:rPr>
                <w:rFonts w:hint="eastAsia" w:ascii="宋体" w:hAnsi="宋体"/>
                <w:szCs w:val="21"/>
                <w:lang w:val="en-US" w:eastAsia="zh-CN"/>
              </w:rPr>
              <w:t>.2-2023</w:t>
            </w:r>
          </w:p>
        </w:tc>
        <w:tc>
          <w:tcPr>
            <w:tcW w:w="1344" w:type="pct"/>
            <w:noWrap w:val="0"/>
            <w:vAlign w:val="center"/>
          </w:tcPr>
          <w:p>
            <w:pPr>
              <w:widowControl/>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Cs w:val="21"/>
                <w:lang w:eastAsia="zh-CN"/>
              </w:rPr>
              <w:t>GB/T 7251</w:t>
            </w:r>
            <w:r>
              <w:rPr>
                <w:rFonts w:hint="eastAsia" w:ascii="宋体" w:hAnsi="宋体"/>
                <w:szCs w:val="21"/>
                <w:lang w:val="en-US" w:eastAsia="zh-CN"/>
              </w:rPr>
              <w:t>.2-2023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widowControl/>
              <w:spacing w:line="440" w:lineRule="exact"/>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10</w:t>
            </w:r>
          </w:p>
        </w:tc>
        <w:tc>
          <w:tcPr>
            <w:tcW w:w="1226" w:type="pct"/>
            <w:noWrap w:val="0"/>
            <w:vAlign w:val="center"/>
          </w:tcPr>
          <w:p>
            <w:pPr>
              <w:widowControl/>
              <w:spacing w:line="440" w:lineRule="exact"/>
              <w:jc w:val="center"/>
              <w:rPr>
                <w:rFonts w:hint="eastAsia" w:ascii="宋体" w:hAnsi="宋体" w:cs="宋体"/>
                <w:kern w:val="0"/>
                <w:szCs w:val="21"/>
                <w:lang w:eastAsia="zh-CN"/>
              </w:rPr>
            </w:pPr>
            <w:r>
              <w:rPr>
                <w:rFonts w:hint="eastAsia" w:ascii="宋体" w:hAnsi="宋体" w:cs="宋体"/>
                <w:kern w:val="0"/>
                <w:szCs w:val="21"/>
                <w:lang w:eastAsia="zh-CN"/>
              </w:rPr>
              <w:t>内部电路的连接</w:t>
            </w:r>
          </w:p>
        </w:tc>
        <w:tc>
          <w:tcPr>
            <w:tcW w:w="1601" w:type="pct"/>
            <w:noWrap w:val="0"/>
            <w:vAlign w:val="center"/>
          </w:tcPr>
          <w:p>
            <w:pPr>
              <w:widowControl/>
              <w:spacing w:line="240" w:lineRule="auto"/>
              <w:jc w:val="center"/>
              <w:rPr>
                <w:rFonts w:hint="eastAsia" w:ascii="宋体" w:hAnsi="宋体" w:cs="宋体" w:eastAsiaTheme="minorEastAsia"/>
                <w:kern w:val="0"/>
                <w:sz w:val="21"/>
                <w:szCs w:val="21"/>
                <w:lang w:val="en-US" w:eastAsia="zh-CN" w:bidi="ar-SA"/>
              </w:rPr>
            </w:pPr>
            <w:r>
              <w:rPr>
                <w:rFonts w:hint="eastAsia" w:ascii="宋体" w:hAnsi="宋体"/>
                <w:szCs w:val="21"/>
                <w:lang w:eastAsia="zh-CN"/>
              </w:rPr>
              <w:t>GB/T 7251</w:t>
            </w:r>
            <w:r>
              <w:rPr>
                <w:rFonts w:hint="eastAsia" w:ascii="宋体" w:hAnsi="宋体"/>
                <w:szCs w:val="21"/>
                <w:lang w:val="en-US" w:eastAsia="zh-CN"/>
              </w:rPr>
              <w:t>.2-2023</w:t>
            </w:r>
          </w:p>
        </w:tc>
        <w:tc>
          <w:tcPr>
            <w:tcW w:w="1344" w:type="pct"/>
            <w:noWrap w:val="0"/>
            <w:vAlign w:val="center"/>
          </w:tcPr>
          <w:p>
            <w:pPr>
              <w:widowControl/>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Cs w:val="21"/>
                <w:lang w:eastAsia="zh-CN"/>
              </w:rPr>
              <w:t>GB/T 7251</w:t>
            </w:r>
            <w:r>
              <w:rPr>
                <w:rFonts w:hint="eastAsia" w:ascii="宋体" w:hAnsi="宋体"/>
                <w:szCs w:val="21"/>
                <w:lang w:val="en-US" w:eastAsia="zh-CN"/>
              </w:rPr>
              <w:t>.2-2023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widowControl/>
              <w:spacing w:line="440" w:lineRule="exact"/>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11</w:t>
            </w:r>
          </w:p>
        </w:tc>
        <w:tc>
          <w:tcPr>
            <w:tcW w:w="1226" w:type="pct"/>
            <w:noWrap w:val="0"/>
            <w:vAlign w:val="center"/>
          </w:tcPr>
          <w:p>
            <w:pPr>
              <w:widowControl/>
              <w:spacing w:line="440" w:lineRule="exact"/>
              <w:jc w:val="center"/>
              <w:rPr>
                <w:rFonts w:hint="eastAsia" w:ascii="宋体" w:hAnsi="宋体" w:cs="宋体"/>
                <w:kern w:val="0"/>
                <w:szCs w:val="21"/>
                <w:lang w:eastAsia="zh-CN"/>
              </w:rPr>
            </w:pPr>
            <w:r>
              <w:rPr>
                <w:rFonts w:hint="eastAsia" w:ascii="宋体" w:hAnsi="宋体" w:cs="宋体"/>
                <w:kern w:val="0"/>
                <w:szCs w:val="21"/>
                <w:lang w:eastAsia="zh-CN"/>
              </w:rPr>
              <w:t>外接导线端子</w:t>
            </w:r>
          </w:p>
        </w:tc>
        <w:tc>
          <w:tcPr>
            <w:tcW w:w="1601" w:type="pct"/>
            <w:noWrap w:val="0"/>
            <w:vAlign w:val="center"/>
          </w:tcPr>
          <w:p>
            <w:pPr>
              <w:widowControl/>
              <w:spacing w:line="240" w:lineRule="auto"/>
              <w:jc w:val="center"/>
              <w:rPr>
                <w:rFonts w:hint="eastAsia" w:ascii="宋体" w:hAnsi="宋体" w:cs="宋体" w:eastAsiaTheme="minorEastAsia"/>
                <w:kern w:val="0"/>
                <w:sz w:val="21"/>
                <w:szCs w:val="21"/>
                <w:lang w:val="en-US" w:eastAsia="zh-CN" w:bidi="ar-SA"/>
              </w:rPr>
            </w:pPr>
            <w:r>
              <w:rPr>
                <w:rFonts w:hint="eastAsia" w:ascii="宋体" w:hAnsi="宋体"/>
                <w:szCs w:val="21"/>
                <w:lang w:eastAsia="zh-CN"/>
              </w:rPr>
              <w:t>GB/T 7251</w:t>
            </w:r>
            <w:r>
              <w:rPr>
                <w:rFonts w:hint="eastAsia" w:ascii="宋体" w:hAnsi="宋体"/>
                <w:szCs w:val="21"/>
                <w:lang w:val="en-US" w:eastAsia="zh-CN"/>
              </w:rPr>
              <w:t>.2-2023</w:t>
            </w:r>
          </w:p>
        </w:tc>
        <w:tc>
          <w:tcPr>
            <w:tcW w:w="1344" w:type="pct"/>
            <w:noWrap w:val="0"/>
            <w:vAlign w:val="center"/>
          </w:tcPr>
          <w:p>
            <w:pPr>
              <w:widowControl/>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Cs w:val="21"/>
                <w:lang w:eastAsia="zh-CN"/>
              </w:rPr>
              <w:t>GB/T 7251</w:t>
            </w:r>
            <w:r>
              <w:rPr>
                <w:rFonts w:hint="eastAsia" w:ascii="宋体" w:hAnsi="宋体"/>
                <w:szCs w:val="21"/>
                <w:lang w:val="en-US" w:eastAsia="zh-CN"/>
              </w:rPr>
              <w:t>.2-2023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widowControl/>
              <w:spacing w:line="440" w:lineRule="exact"/>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12</w:t>
            </w:r>
          </w:p>
        </w:tc>
        <w:tc>
          <w:tcPr>
            <w:tcW w:w="1226" w:type="pct"/>
            <w:noWrap w:val="0"/>
            <w:vAlign w:val="center"/>
          </w:tcPr>
          <w:p>
            <w:pPr>
              <w:widowControl/>
              <w:spacing w:line="440" w:lineRule="exact"/>
              <w:jc w:val="center"/>
              <w:rPr>
                <w:rFonts w:hint="eastAsia" w:ascii="宋体" w:hAnsi="宋体" w:cs="宋体"/>
                <w:kern w:val="0"/>
                <w:szCs w:val="21"/>
                <w:lang w:eastAsia="zh-CN"/>
              </w:rPr>
            </w:pPr>
            <w:r>
              <w:rPr>
                <w:rFonts w:hint="eastAsia" w:ascii="宋体" w:hAnsi="宋体" w:cs="宋体"/>
                <w:kern w:val="0"/>
                <w:szCs w:val="21"/>
                <w:lang w:eastAsia="zh-CN"/>
              </w:rPr>
              <w:t>机械操作</w:t>
            </w:r>
          </w:p>
        </w:tc>
        <w:tc>
          <w:tcPr>
            <w:tcW w:w="1601" w:type="pct"/>
            <w:noWrap w:val="0"/>
            <w:vAlign w:val="center"/>
          </w:tcPr>
          <w:p>
            <w:pPr>
              <w:widowControl/>
              <w:spacing w:line="240" w:lineRule="auto"/>
              <w:jc w:val="center"/>
              <w:rPr>
                <w:rFonts w:hint="eastAsia" w:ascii="宋体" w:hAnsi="宋体" w:cs="宋体" w:eastAsiaTheme="minorEastAsia"/>
                <w:kern w:val="0"/>
                <w:sz w:val="21"/>
                <w:szCs w:val="21"/>
                <w:lang w:val="en-US" w:eastAsia="zh-CN" w:bidi="ar-SA"/>
              </w:rPr>
            </w:pPr>
            <w:r>
              <w:rPr>
                <w:rFonts w:hint="eastAsia" w:ascii="宋体" w:hAnsi="宋体"/>
                <w:szCs w:val="21"/>
                <w:lang w:eastAsia="zh-CN"/>
              </w:rPr>
              <w:t>GB/T 7251</w:t>
            </w:r>
            <w:r>
              <w:rPr>
                <w:rFonts w:hint="eastAsia" w:ascii="宋体" w:hAnsi="宋体"/>
                <w:szCs w:val="21"/>
                <w:lang w:val="en-US" w:eastAsia="zh-CN"/>
              </w:rPr>
              <w:t>.2-2023</w:t>
            </w:r>
          </w:p>
        </w:tc>
        <w:tc>
          <w:tcPr>
            <w:tcW w:w="1344" w:type="pct"/>
            <w:noWrap w:val="0"/>
            <w:vAlign w:val="center"/>
          </w:tcPr>
          <w:p>
            <w:pPr>
              <w:widowControl/>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Cs w:val="21"/>
                <w:lang w:eastAsia="zh-CN"/>
              </w:rPr>
              <w:t>GB/T 7251</w:t>
            </w:r>
            <w:r>
              <w:rPr>
                <w:rFonts w:hint="eastAsia" w:ascii="宋体" w:hAnsi="宋体"/>
                <w:szCs w:val="21"/>
                <w:lang w:val="en-US" w:eastAsia="zh-CN"/>
              </w:rPr>
              <w:t>.2-2023</w:t>
            </w:r>
          </w:p>
        </w:tc>
      </w:tr>
    </w:tbl>
    <w:p>
      <w:pPr>
        <w:rPr>
          <w:rFonts w:hint="eastAsia" w:ascii="黑体" w:hAnsi="黑体" w:eastAsia="黑体" w:cs="黑体"/>
        </w:rPr>
      </w:pPr>
      <w:r>
        <w:rPr>
          <w:rFonts w:hint="eastAsia" w:ascii="黑体" w:hAnsi="黑体" w:eastAsia="黑体" w:cs="黑体"/>
        </w:rPr>
        <w:br w:type="page"/>
      </w:r>
    </w:p>
    <w:p>
      <w:pPr>
        <w:numPr>
          <w:ilvl w:val="0"/>
          <w:numId w:val="0"/>
        </w:numPr>
        <w:rPr>
          <w:rFonts w:hint="eastAsia" w:ascii="黑体" w:hAnsi="黑体" w:eastAsia="黑体" w:cs="黑体"/>
          <w:b/>
          <w:bCs/>
          <w:sz w:val="24"/>
          <w:szCs w:val="24"/>
        </w:rPr>
      </w:pPr>
      <w:r>
        <w:rPr>
          <w:rFonts w:hint="eastAsia" w:ascii="黑体" w:hAnsi="黑体" w:eastAsia="黑体" w:cs="黑体"/>
          <w:b/>
          <w:bCs/>
          <w:sz w:val="24"/>
          <w:szCs w:val="24"/>
          <w:lang w:val="en-US" w:eastAsia="zh-CN"/>
        </w:rPr>
        <w:t>3.</w:t>
      </w:r>
      <w:r>
        <w:rPr>
          <w:rFonts w:hint="eastAsia" w:ascii="黑体" w:hAnsi="黑体" w:eastAsia="黑体" w:cs="黑体"/>
          <w:b/>
          <w:bCs/>
          <w:sz w:val="24"/>
          <w:szCs w:val="24"/>
        </w:rPr>
        <w:t>判定规则</w:t>
      </w:r>
    </w:p>
    <w:p>
      <w:pPr>
        <w:snapToGrid w:val="0"/>
        <w:spacing w:line="440" w:lineRule="exact"/>
        <w:rPr>
          <w:rFonts w:hint="eastAsia" w:ascii="宋体" w:hAnsi="宋体" w:eastAsia="宋体" w:cs="Times New Roman"/>
          <w:szCs w:val="21"/>
        </w:rPr>
      </w:pPr>
      <w:r>
        <w:rPr>
          <w:rFonts w:hint="eastAsia" w:ascii="宋体" w:hAnsi="宋体" w:eastAsia="宋体" w:cs="Times New Roman"/>
          <w:szCs w:val="21"/>
        </w:rPr>
        <w:t>3.1依据标准</w:t>
      </w:r>
    </w:p>
    <w:p>
      <w:pPr>
        <w:snapToGrid w:val="0"/>
        <w:spacing w:line="440" w:lineRule="exact"/>
        <w:ind w:firstLine="359" w:firstLineChars="171"/>
        <w:rPr>
          <w:rFonts w:hint="eastAsia" w:ascii="宋体" w:hAnsi="宋体"/>
          <w:szCs w:val="21"/>
        </w:rPr>
      </w:pPr>
      <w:r>
        <w:rPr>
          <w:rFonts w:hint="eastAsia" w:ascii="宋体" w:hAnsi="宋体"/>
          <w:szCs w:val="21"/>
          <w:lang w:eastAsia="zh-CN"/>
        </w:rPr>
        <w:t>GB/T 7251.1-20</w:t>
      </w:r>
      <w:r>
        <w:rPr>
          <w:rFonts w:hint="eastAsia" w:ascii="宋体" w:hAnsi="宋体"/>
          <w:szCs w:val="21"/>
          <w:lang w:val="en-US" w:eastAsia="zh-CN"/>
        </w:rPr>
        <w:t>23</w:t>
      </w:r>
      <w:r>
        <w:rPr>
          <w:rFonts w:hint="eastAsia" w:ascii="宋体" w:hAnsi="宋体"/>
          <w:szCs w:val="21"/>
        </w:rPr>
        <w:t xml:space="preserve">  《低压成套开关设备和控制设备  第1部分：总则》</w:t>
      </w:r>
    </w:p>
    <w:p>
      <w:pPr>
        <w:snapToGrid w:val="0"/>
        <w:spacing w:line="440" w:lineRule="exact"/>
        <w:ind w:firstLine="359" w:firstLineChars="171"/>
        <w:rPr>
          <w:rFonts w:hint="default" w:ascii="宋体" w:hAnsi="宋体"/>
          <w:szCs w:val="21"/>
          <w:lang w:val="en-US" w:eastAsia="zh-CN"/>
        </w:rPr>
      </w:pPr>
      <w:r>
        <w:rPr>
          <w:rFonts w:hint="eastAsia" w:ascii="宋体" w:hAnsi="宋体"/>
          <w:szCs w:val="21"/>
          <w:lang w:val="en-US" w:eastAsia="zh-CN"/>
        </w:rPr>
        <w:t>GB/T 7251.2-2023 《低压成套开关设备和控制设备  第2部分：成套电力开关和控制设备》</w:t>
      </w:r>
    </w:p>
    <w:p>
      <w:pPr>
        <w:snapToGrid w:val="0"/>
        <w:spacing w:line="440" w:lineRule="exact"/>
        <w:ind w:firstLine="359" w:firstLineChars="171"/>
        <w:rPr>
          <w:rFonts w:hint="eastAsia" w:ascii="宋体" w:hAnsi="宋体"/>
          <w:szCs w:val="21"/>
        </w:rPr>
      </w:pPr>
      <w:r>
        <w:rPr>
          <w:color w:val="000000"/>
          <w:szCs w:val="21"/>
        </w:rPr>
        <w:t>现行有效的企业标准、团体标准、地方标准及产品明示质量要求</w:t>
      </w:r>
    </w:p>
    <w:p>
      <w:pPr>
        <w:snapToGrid w:val="0"/>
        <w:spacing w:line="440" w:lineRule="exact"/>
        <w:ind w:firstLine="420" w:firstLineChars="200"/>
        <w:rPr>
          <w:rFonts w:hint="eastAsia" w:ascii="宋体" w:hAnsi="宋体" w:eastAsia="宋体" w:cs="Times New Roman"/>
          <w:szCs w:val="21"/>
        </w:rPr>
      </w:pPr>
    </w:p>
    <w:p>
      <w:pPr>
        <w:snapToGrid w:val="0"/>
        <w:spacing w:line="440" w:lineRule="exact"/>
        <w:rPr>
          <w:rFonts w:hint="eastAsia" w:ascii="宋体" w:hAnsi="宋体" w:eastAsia="宋体" w:cs="Times New Roman"/>
          <w:szCs w:val="21"/>
        </w:rPr>
      </w:pPr>
      <w:r>
        <w:rPr>
          <w:rFonts w:hint="eastAsia" w:ascii="宋体" w:hAnsi="宋体" w:eastAsia="宋体" w:cs="Times New Roman"/>
          <w:szCs w:val="21"/>
        </w:rPr>
        <w:t>3.2判定原则</w:t>
      </w:r>
    </w:p>
    <w:p>
      <w:pPr>
        <w:snapToGrid w:val="0"/>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t>经检验，检验项目全部合格，判定为被抽查产品合格；检验项目中任一项或一项以上不合格，判定为被抽查产品不合格。</w:t>
      </w:r>
    </w:p>
    <w:p>
      <w:pPr>
        <w:snapToGrid w:val="0"/>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t>若被检产品明示的质量要求高于本细则中检验项目依据的标准要求时，应按被检产品明示的质量要求判定。</w:t>
      </w:r>
    </w:p>
    <w:p>
      <w:pPr>
        <w:snapToGrid w:val="0"/>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t>若被检产品明示的质量要求低于本细则中检验项目依据的强制性标准要求时，应按照强制性标准要求判定。</w:t>
      </w:r>
    </w:p>
    <w:p>
      <w:pPr>
        <w:snapToGrid w:val="0"/>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t>若被检产品明示的质量要求低于或包含细则中检验项目依据的推荐性标准要求时，应以被检产品明示的质量要求判定。</w:t>
      </w:r>
    </w:p>
    <w:p>
      <w:pPr>
        <w:snapToGrid w:val="0"/>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t>若被检产品明示的质量要求缺少本细则中检验项目据的强制性标准要求时，应按照强制性标准要求判定。</w:t>
      </w:r>
    </w:p>
    <w:p>
      <w:pPr>
        <w:snapToGrid w:val="0"/>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t>若被检产品明示的质量要求缺少本细则中检验项目依据的推荐性标准要求时，该项目不参与判定，但应在检验报告备注中进行说明。</w:t>
      </w:r>
    </w:p>
    <w:p>
      <w:pPr>
        <w:numPr>
          <w:ilvl w:val="0"/>
          <w:numId w:val="0"/>
        </w:numPr>
        <w:rPr>
          <w:rFonts w:hint="eastAsia" w:ascii="黑体" w:hAnsi="黑体" w:eastAsia="黑体" w:cs="黑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89AB1"/>
    <w:multiLevelType w:val="multilevel"/>
    <w:tmpl w:val="DFF89AB1"/>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M2FiNWJhMGVhODkzNmIwZDZiOWViMGFiNmM4MDcifQ=="/>
  </w:docVars>
  <w:rsids>
    <w:rsidRoot w:val="B71ABD60"/>
    <w:rsid w:val="0E80608C"/>
    <w:rsid w:val="0FF94D19"/>
    <w:rsid w:val="1206612D"/>
    <w:rsid w:val="145F140C"/>
    <w:rsid w:val="1719707D"/>
    <w:rsid w:val="18D07C10"/>
    <w:rsid w:val="1A935928"/>
    <w:rsid w:val="1F294CA8"/>
    <w:rsid w:val="23621DAC"/>
    <w:rsid w:val="23887E44"/>
    <w:rsid w:val="33FF1C14"/>
    <w:rsid w:val="35F60AC0"/>
    <w:rsid w:val="368C3DB4"/>
    <w:rsid w:val="39DF0BF5"/>
    <w:rsid w:val="3C3F29B0"/>
    <w:rsid w:val="3DFF6237"/>
    <w:rsid w:val="40355F00"/>
    <w:rsid w:val="40F40090"/>
    <w:rsid w:val="42EB7271"/>
    <w:rsid w:val="46986D66"/>
    <w:rsid w:val="4D671BE9"/>
    <w:rsid w:val="56B17624"/>
    <w:rsid w:val="592038B4"/>
    <w:rsid w:val="5AA954F0"/>
    <w:rsid w:val="5D942587"/>
    <w:rsid w:val="600D6620"/>
    <w:rsid w:val="61BE8A9B"/>
    <w:rsid w:val="637864A7"/>
    <w:rsid w:val="65E91B04"/>
    <w:rsid w:val="6D2C7A65"/>
    <w:rsid w:val="76696B48"/>
    <w:rsid w:val="7A044DC4"/>
    <w:rsid w:val="7B9E49E5"/>
    <w:rsid w:val="7FDD41D0"/>
    <w:rsid w:val="B71ABD60"/>
    <w:rsid w:val="BF77D358"/>
    <w:rsid w:val="DBFD5622"/>
    <w:rsid w:val="EF3FEC68"/>
    <w:rsid w:val="F66930E3"/>
    <w:rsid w:val="FBE724BF"/>
    <w:rsid w:val="FF9F9E7F"/>
    <w:rsid w:val="FFF7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763</Words>
  <Characters>1047</Characters>
  <Lines>0</Lines>
  <Paragraphs>0</Paragraphs>
  <TotalTime>2</TotalTime>
  <ScaleCrop>false</ScaleCrop>
  <LinksUpToDate>false</LinksUpToDate>
  <CharactersWithSpaces>1080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2021-07-30T08:03:00Z</dcterms:created>
  <dc:creator>greatwall</dc:creator>
  <cp:lastModifiedBy>柏雪</cp:lastModifiedBy>
  <dcterms:modified xsi:type="dcterms:W3CDTF">2024-02-28T08:14:31Z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B996A486DF4F4A1795EC7BB14BD8C0AA</vt:lpwstr>
  </property>
</Properties>
</file>