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宋体"/>
          <w:b/>
          <w:color w:val="000000"/>
          <w:sz w:val="28"/>
          <w:szCs w:val="28"/>
        </w:rPr>
      </w:pPr>
      <w:r>
        <w:rPr>
          <w:rFonts w:hint="eastAsia" w:ascii="Times New Roman" w:hAnsi="Times New Roman" w:eastAsia="宋体"/>
          <w:b/>
          <w:color w:val="000000"/>
          <w:sz w:val="28"/>
          <w:szCs w:val="28"/>
        </w:rPr>
        <w:t>黄石市</w:t>
      </w:r>
      <w:r>
        <w:rPr>
          <w:rFonts w:ascii="Times New Roman" w:hAnsi="Times New Roman" w:eastAsia="宋体"/>
          <w:b/>
          <w:color w:val="000000"/>
          <w:sz w:val="28"/>
          <w:szCs w:val="28"/>
        </w:rPr>
        <w:t>陶瓷砖产品质量监督抽查实施细则</w:t>
      </w:r>
    </w:p>
    <w:p>
      <w:pPr>
        <w:snapToGrid w:val="0"/>
        <w:spacing w:line="360" w:lineRule="auto"/>
        <w:jc w:val="center"/>
        <w:rPr>
          <w:rFonts w:hint="eastAsia" w:ascii="Times New Roman" w:hAnsi="Times New Roman" w:eastAsia="宋体"/>
          <w:b/>
          <w:color w:val="000000"/>
          <w:sz w:val="28"/>
          <w:szCs w:val="28"/>
          <w:lang w:eastAsia="zh-CN"/>
        </w:rPr>
      </w:pPr>
      <w:r>
        <w:rPr>
          <w:rFonts w:hint="eastAsia" w:ascii="Times New Roman" w:hAnsi="Times New Roman" w:eastAsia="宋体"/>
          <w:b/>
          <w:color w:val="000000"/>
          <w:sz w:val="28"/>
          <w:szCs w:val="28"/>
          <w:lang w:eastAsia="zh-CN"/>
        </w:rPr>
        <w:t>（</w:t>
      </w:r>
      <w:r>
        <w:rPr>
          <w:rFonts w:hint="eastAsia" w:ascii="Times New Roman" w:hAnsi="Times New Roman" w:eastAsia="宋体"/>
          <w:b/>
          <w:color w:val="000000"/>
          <w:sz w:val="28"/>
          <w:szCs w:val="28"/>
          <w:lang w:val="en-US" w:eastAsia="zh-CN"/>
        </w:rPr>
        <w:t>202</w:t>
      </w:r>
      <w:r>
        <w:rPr>
          <w:rFonts w:hint="eastAsia" w:ascii="Times New Roman" w:hAnsi="Times New Roman"/>
          <w:b/>
          <w:color w:val="000000"/>
          <w:sz w:val="28"/>
          <w:szCs w:val="28"/>
          <w:lang w:val="en-US" w:eastAsia="zh-CN"/>
        </w:rPr>
        <w:t>4</w:t>
      </w:r>
      <w:r>
        <w:rPr>
          <w:rFonts w:hint="eastAsia" w:ascii="Times New Roman" w:hAnsi="Times New Roman" w:eastAsia="宋体"/>
          <w:b/>
          <w:color w:val="000000"/>
          <w:sz w:val="28"/>
          <w:szCs w:val="28"/>
          <w:lang w:val="en-US" w:eastAsia="zh-CN"/>
        </w:rPr>
        <w:t>年版</w:t>
      </w:r>
      <w:r>
        <w:rPr>
          <w:rFonts w:hint="eastAsia" w:ascii="Times New Roman" w:hAnsi="Times New Roman" w:eastAsia="宋体"/>
          <w:b/>
          <w:color w:val="000000"/>
          <w:sz w:val="28"/>
          <w:szCs w:val="28"/>
          <w:lang w:eastAsia="zh-CN"/>
        </w:rPr>
        <w:t>）</w:t>
      </w:r>
    </w:p>
    <w:p>
      <w:pPr>
        <w:numPr>
          <w:ilvl w:val="0"/>
          <w:numId w:val="1"/>
        </w:numPr>
        <w:rPr>
          <w:rFonts w:hint="eastAsia" w:ascii="宋体" w:hAnsi="宋体" w:cs="宋体"/>
          <w:color w:val="000000"/>
          <w:szCs w:val="21"/>
        </w:rPr>
      </w:pPr>
      <w:r>
        <w:rPr>
          <w:rFonts w:hint="eastAsia" w:ascii="黑体" w:hAnsi="黑体" w:eastAsia="黑体" w:cs="黑体"/>
        </w:rPr>
        <w:t>抽样方法</w:t>
      </w:r>
    </w:p>
    <w:p>
      <w:pPr>
        <w:snapToGrid w:val="0"/>
        <w:spacing w:line="440" w:lineRule="exact"/>
        <w:ind w:firstLine="420" w:firstLineChars="200"/>
        <w:rPr>
          <w:rFonts w:ascii="宋体" w:hAnsi="宋体"/>
          <w:szCs w:val="21"/>
        </w:rPr>
      </w:pPr>
      <w:r>
        <w:rPr>
          <w:rFonts w:ascii="宋体" w:hAnsi="宋体"/>
          <w:szCs w:val="21"/>
        </w:rPr>
        <w:t>以随机抽样的方式在被抽样生产者、销售者的待销产品中抽取。</w:t>
      </w:r>
    </w:p>
    <w:p>
      <w:pPr>
        <w:snapToGrid w:val="0"/>
        <w:spacing w:line="440" w:lineRule="exact"/>
        <w:ind w:firstLine="420" w:firstLineChars="200"/>
        <w:rPr>
          <w:rFonts w:ascii="宋体" w:hAnsi="宋体"/>
          <w:szCs w:val="21"/>
        </w:rPr>
      </w:pPr>
      <w:r>
        <w:rPr>
          <w:rFonts w:ascii="宋体" w:hAnsi="宋体"/>
          <w:szCs w:val="21"/>
        </w:rPr>
        <w:t>随机数一般可使用随机数表等方法产生。</w:t>
      </w:r>
    </w:p>
    <w:p>
      <w:pPr>
        <w:snapToGrid w:val="0"/>
        <w:spacing w:line="440" w:lineRule="exact"/>
        <w:ind w:firstLine="420" w:firstLineChars="200"/>
        <w:rPr>
          <w:rFonts w:hint="eastAsia" w:ascii="宋体" w:hAnsi="宋体"/>
          <w:szCs w:val="21"/>
          <w:lang w:eastAsia="zh-CN"/>
        </w:rPr>
      </w:pPr>
      <w:r>
        <w:rPr>
          <w:rFonts w:ascii="宋体" w:hAnsi="宋体"/>
          <w:szCs w:val="21"/>
        </w:rPr>
        <w:t>抽样数量根据样品规格不同来确定，样品长边长度小于600mm规格的陶瓷砖抽取检验样品数量</w:t>
      </w:r>
      <w:r>
        <w:rPr>
          <w:rFonts w:hint="eastAsia" w:ascii="宋体" w:hAnsi="宋体"/>
          <w:szCs w:val="21"/>
          <w:lang w:eastAsia="zh-CN"/>
        </w:rPr>
        <w:t>至少</w:t>
      </w:r>
      <w:r>
        <w:rPr>
          <w:rFonts w:ascii="宋体" w:hAnsi="宋体"/>
          <w:szCs w:val="21"/>
        </w:rPr>
        <w:t>20块，备用样品数量至少10块；长边长度不小于600mm规格的陶瓷砖抽取检验样品数量</w:t>
      </w:r>
      <w:r>
        <w:rPr>
          <w:rFonts w:hint="eastAsia" w:ascii="宋体" w:hAnsi="宋体"/>
          <w:szCs w:val="21"/>
          <w:lang w:eastAsia="zh-CN"/>
        </w:rPr>
        <w:t>至少</w:t>
      </w:r>
      <w:r>
        <w:rPr>
          <w:rFonts w:ascii="宋体" w:hAnsi="宋体"/>
          <w:szCs w:val="21"/>
        </w:rPr>
        <w:t>12块，备用样品数量至少10块。（注：抽取样品数量时应在满足抽取的检验样品和备用样品数量基础上，整箱抽取不拆原包装）</w:t>
      </w:r>
      <w:r>
        <w:rPr>
          <w:rFonts w:hint="eastAsia" w:ascii="宋体" w:hAnsi="宋体"/>
          <w:szCs w:val="21"/>
          <w:lang w:eastAsia="zh-CN"/>
        </w:rPr>
        <w:t>。</w:t>
      </w:r>
    </w:p>
    <w:p>
      <w:pPr>
        <w:snapToGrid w:val="0"/>
        <w:spacing w:line="440" w:lineRule="exact"/>
        <w:ind w:firstLine="420" w:firstLineChars="200"/>
        <w:rPr>
          <w:rFonts w:hint="eastAsia" w:ascii="宋体" w:hAnsi="宋体"/>
          <w:szCs w:val="21"/>
          <w:lang w:eastAsia="zh-CN"/>
        </w:rPr>
      </w:pPr>
    </w:p>
    <w:p>
      <w:pPr>
        <w:numPr>
          <w:ilvl w:val="0"/>
          <w:numId w:val="1"/>
        </w:numPr>
        <w:rPr>
          <w:rFonts w:hint="eastAsia" w:ascii="黑体" w:hAnsi="黑体" w:eastAsia="黑体" w:cs="黑体"/>
        </w:rPr>
      </w:pPr>
      <w:r>
        <w:rPr>
          <w:rFonts w:hint="eastAsia" w:ascii="黑体" w:hAnsi="黑体" w:eastAsia="黑体" w:cs="黑体"/>
        </w:rPr>
        <w:t>检验依据</w:t>
      </w:r>
    </w:p>
    <w:p>
      <w:pPr>
        <w:snapToGrid w:val="0"/>
        <w:spacing w:line="440" w:lineRule="exact"/>
        <w:ind w:firstLine="420" w:firstLineChars="200"/>
        <w:rPr>
          <w:rFonts w:hint="eastAsia" w:ascii="宋体" w:hAnsi="宋体"/>
          <w:szCs w:val="21"/>
        </w:rPr>
      </w:pPr>
    </w:p>
    <w:p>
      <w:pPr>
        <w:snapToGrid w:val="0"/>
        <w:spacing w:line="360" w:lineRule="auto"/>
        <w:jc w:val="center"/>
        <w:rPr>
          <w:rFonts w:hint="eastAsia" w:ascii="Times New Roman" w:hAnsi="Times New Roman" w:eastAsia="宋体"/>
          <w:b/>
          <w:color w:val="000000"/>
          <w:szCs w:val="21"/>
          <w:lang w:val="en-US" w:eastAsia="zh-CN"/>
        </w:rPr>
      </w:pPr>
      <w:r>
        <w:rPr>
          <w:rFonts w:ascii="Times New Roman" w:hAnsi="Times New Roman"/>
          <w:b w:val="0"/>
          <w:bCs/>
          <w:color w:val="000000"/>
          <w:szCs w:val="21"/>
        </w:rPr>
        <w:t>表</w:t>
      </w:r>
      <w:r>
        <w:rPr>
          <w:rFonts w:hint="eastAsia" w:ascii="Times New Roman" w:hAnsi="Times New Roman"/>
          <w:b w:val="0"/>
          <w:bCs/>
          <w:color w:val="000000"/>
          <w:szCs w:val="21"/>
          <w:lang w:val="en-US" w:eastAsia="zh-CN"/>
        </w:rPr>
        <w:t>1</w:t>
      </w:r>
      <w:r>
        <w:rPr>
          <w:rFonts w:ascii="Times New Roman" w:hAnsi="Times New Roman"/>
          <w:b w:val="0"/>
          <w:bCs/>
          <w:color w:val="000000"/>
          <w:szCs w:val="21"/>
        </w:rPr>
        <w:t xml:space="preserve">  </w:t>
      </w:r>
      <w:r>
        <w:rPr>
          <w:rFonts w:hint="eastAsia" w:ascii="Times New Roman" w:hAnsi="Times New Roman"/>
          <w:b w:val="0"/>
          <w:bCs/>
          <w:color w:val="000000"/>
          <w:szCs w:val="21"/>
          <w:lang w:val="en-US" w:eastAsia="zh-CN"/>
        </w:rPr>
        <w:t>陶瓷砖</w:t>
      </w:r>
    </w:p>
    <w:tbl>
      <w:tblPr>
        <w:tblStyle w:val="5"/>
        <w:tblW w:w="7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860"/>
        <w:gridCol w:w="1890"/>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178" w:type="dxa"/>
            <w:vMerge w:val="restart"/>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序号</w:t>
            </w:r>
          </w:p>
        </w:tc>
        <w:tc>
          <w:tcPr>
            <w:tcW w:w="1860" w:type="dxa"/>
            <w:vMerge w:val="restart"/>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检验项目</w:t>
            </w:r>
          </w:p>
        </w:tc>
        <w:tc>
          <w:tcPr>
            <w:tcW w:w="1890" w:type="dxa"/>
            <w:vMerge w:val="restart"/>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lang w:eastAsia="zh-CN"/>
              </w:rPr>
            </w:pPr>
            <w:r>
              <w:rPr>
                <w:rFonts w:hint="eastAsia" w:ascii="宋体" w:hAnsi="宋体" w:eastAsiaTheme="minorEastAsia" w:cstheme="minorBidi"/>
                <w:color w:val="000000"/>
                <w:szCs w:val="21"/>
                <w:lang w:eastAsia="zh-CN"/>
              </w:rPr>
              <w:t>检验依据</w:t>
            </w:r>
          </w:p>
        </w:tc>
        <w:tc>
          <w:tcPr>
            <w:tcW w:w="2818" w:type="dxa"/>
            <w:vMerge w:val="restart"/>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lang w:eastAsia="zh-CN"/>
              </w:rPr>
              <w:t>检验</w:t>
            </w:r>
            <w:r>
              <w:rPr>
                <w:rFonts w:hint="eastAsia" w:ascii="宋体" w:hAnsi="宋体" w:eastAsiaTheme="minorEastAsia" w:cstheme="minorBidi"/>
                <w:color w:val="000000"/>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178" w:type="dxa"/>
            <w:vMerge w:val="continue"/>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p>
        </w:tc>
        <w:tc>
          <w:tcPr>
            <w:tcW w:w="1860" w:type="dxa"/>
            <w:vMerge w:val="continue"/>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p>
        </w:tc>
        <w:tc>
          <w:tcPr>
            <w:tcW w:w="2818" w:type="dxa"/>
            <w:vMerge w:val="continue"/>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1</w:t>
            </w:r>
          </w:p>
        </w:tc>
        <w:tc>
          <w:tcPr>
            <w:tcW w:w="1860" w:type="dxa"/>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断裂模数</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ascii="Times New Roman" w:hAnsi="Times New Roman" w:eastAsia="宋体"/>
                <w:color w:val="000000"/>
                <w:szCs w:val="21"/>
              </w:rPr>
              <w:t>GB/T 4100</w:t>
            </w:r>
            <w:r>
              <w:rPr>
                <w:rFonts w:hint="eastAsia" w:ascii="Times New Roman" w:hAnsi="Times New Roman" w:eastAsia="宋体"/>
                <w:color w:val="000000"/>
                <w:szCs w:val="21"/>
                <w:lang w:val="en-US" w:eastAsia="zh-CN"/>
              </w:rPr>
              <w:t>-2015</w:t>
            </w:r>
          </w:p>
        </w:tc>
        <w:tc>
          <w:tcPr>
            <w:tcW w:w="2818" w:type="dxa"/>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GB/T 3810.4-2016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2</w:t>
            </w:r>
          </w:p>
        </w:tc>
        <w:tc>
          <w:tcPr>
            <w:tcW w:w="1860" w:type="dxa"/>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破坏强度</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ascii="Times New Roman" w:hAnsi="Times New Roman" w:eastAsia="宋体"/>
                <w:color w:val="000000"/>
                <w:szCs w:val="21"/>
              </w:rPr>
              <w:t>GB/T 4100</w:t>
            </w:r>
            <w:r>
              <w:rPr>
                <w:rFonts w:hint="eastAsia" w:ascii="Times New Roman" w:hAnsi="Times New Roman" w:eastAsia="宋体"/>
                <w:color w:val="000000"/>
                <w:szCs w:val="21"/>
                <w:lang w:val="en-US" w:eastAsia="zh-CN"/>
              </w:rPr>
              <w:t>-2015</w:t>
            </w:r>
          </w:p>
        </w:tc>
        <w:tc>
          <w:tcPr>
            <w:tcW w:w="2818" w:type="dxa"/>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GB/T 3810.4-2016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3</w:t>
            </w:r>
          </w:p>
        </w:tc>
        <w:tc>
          <w:tcPr>
            <w:tcW w:w="1860" w:type="dxa"/>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吸水率</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ascii="Times New Roman" w:hAnsi="Times New Roman" w:eastAsia="宋体"/>
                <w:color w:val="000000"/>
                <w:szCs w:val="21"/>
              </w:rPr>
              <w:t>GB/T 4100</w:t>
            </w:r>
            <w:r>
              <w:rPr>
                <w:rFonts w:hint="eastAsia" w:ascii="Times New Roman" w:hAnsi="Times New Roman" w:eastAsia="宋体"/>
                <w:color w:val="000000"/>
                <w:szCs w:val="21"/>
                <w:lang w:val="en-US" w:eastAsia="zh-CN"/>
              </w:rPr>
              <w:t>-2015</w:t>
            </w:r>
          </w:p>
        </w:tc>
        <w:tc>
          <w:tcPr>
            <w:tcW w:w="2818" w:type="dxa"/>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GB/T 3810.3-2016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4</w:t>
            </w:r>
          </w:p>
        </w:tc>
        <w:tc>
          <w:tcPr>
            <w:tcW w:w="1860" w:type="dxa"/>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放射性核素限量</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ascii="Times New Roman" w:hAnsi="Times New Roman" w:eastAsia="宋体"/>
                <w:color w:val="000000"/>
                <w:szCs w:val="21"/>
              </w:rPr>
              <w:t>GB/T 4100</w:t>
            </w:r>
            <w:r>
              <w:rPr>
                <w:rFonts w:hint="eastAsia" w:ascii="Times New Roman" w:hAnsi="Times New Roman" w:eastAsia="宋体"/>
                <w:color w:val="000000"/>
                <w:szCs w:val="21"/>
                <w:lang w:val="en-US" w:eastAsia="zh-CN"/>
              </w:rPr>
              <w:t>-2015</w:t>
            </w:r>
          </w:p>
        </w:tc>
        <w:tc>
          <w:tcPr>
            <w:tcW w:w="2818" w:type="dxa"/>
            <w:tcBorders>
              <w:top w:val="single" w:color="auto" w:sz="4" w:space="0"/>
              <w:left w:val="nil"/>
              <w:bottom w:val="single" w:color="auto" w:sz="4" w:space="0"/>
              <w:right w:val="single" w:color="auto" w:sz="4" w:space="0"/>
            </w:tcBorders>
            <w:vAlign w:val="center"/>
          </w:tcPr>
          <w:p>
            <w:pPr>
              <w:spacing w:line="324" w:lineRule="auto"/>
              <w:jc w:val="center"/>
              <w:rPr>
                <w:rFonts w:hint="eastAsia" w:ascii="宋体" w:hAnsi="宋体" w:eastAsiaTheme="minorEastAsia" w:cstheme="minorBidi"/>
                <w:color w:val="000000"/>
                <w:szCs w:val="21"/>
              </w:rPr>
            </w:pPr>
            <w:r>
              <w:rPr>
                <w:rFonts w:hint="eastAsia" w:ascii="宋体" w:hAnsi="宋体" w:eastAsiaTheme="minorEastAsia" w:cstheme="minorBidi"/>
                <w:color w:val="000000"/>
                <w:szCs w:val="21"/>
              </w:rPr>
              <w:t>GB 6566-2010</w:t>
            </w:r>
          </w:p>
        </w:tc>
      </w:tr>
    </w:tbl>
    <w:p>
      <w:pPr>
        <w:snapToGrid w:val="0"/>
        <w:spacing w:line="440" w:lineRule="exact"/>
        <w:ind w:firstLine="420" w:firstLineChars="200"/>
        <w:rPr>
          <w:rFonts w:hint="eastAsia" w:ascii="宋体" w:hAnsi="宋体"/>
          <w:szCs w:val="21"/>
        </w:rPr>
      </w:pPr>
    </w:p>
    <w:p>
      <w:pPr>
        <w:numPr>
          <w:ilvl w:val="0"/>
          <w:numId w:val="0"/>
        </w:numPr>
        <w:spacing w:line="360" w:lineRule="auto"/>
        <w:rPr>
          <w:rFonts w:hint="eastAsia" w:ascii="黑体" w:hAnsi="黑体" w:eastAsia="黑体" w:cs="黑体"/>
        </w:rPr>
      </w:pPr>
      <w:r>
        <w:rPr>
          <w:rFonts w:hint="eastAsia" w:ascii="黑体" w:hAnsi="黑体" w:eastAsia="黑体" w:cs="黑体"/>
          <w:lang w:val="en-US" w:eastAsia="zh-CN"/>
        </w:rPr>
        <w:t>3.</w:t>
      </w:r>
      <w:r>
        <w:rPr>
          <w:rFonts w:hint="eastAsia" w:ascii="黑体" w:hAnsi="黑体" w:eastAsia="黑体" w:cs="黑体"/>
        </w:rPr>
        <w:t>判定规则</w:t>
      </w:r>
    </w:p>
    <w:p>
      <w:pPr>
        <w:snapToGrid w:val="0"/>
        <w:spacing w:line="360" w:lineRule="auto"/>
        <w:rPr>
          <w:rFonts w:hint="eastAsia" w:ascii="宋体" w:hAnsi="宋体"/>
          <w:szCs w:val="21"/>
        </w:rPr>
      </w:pPr>
      <w:r>
        <w:rPr>
          <w:rFonts w:hint="eastAsia" w:ascii="宋体" w:hAnsi="宋体"/>
          <w:szCs w:val="21"/>
        </w:rPr>
        <w:t>3.1依据标准</w:t>
      </w:r>
      <w:bookmarkStart w:id="0" w:name="_GoBack"/>
      <w:bookmarkEnd w:id="0"/>
    </w:p>
    <w:p>
      <w:pPr>
        <w:snapToGrid w:val="0"/>
        <w:spacing w:line="360" w:lineRule="auto"/>
        <w:ind w:firstLine="420" w:firstLineChars="200"/>
        <w:rPr>
          <w:rFonts w:ascii="Times New Roman" w:hAnsi="Times New Roman" w:eastAsia="宋体"/>
          <w:color w:val="000000"/>
          <w:szCs w:val="21"/>
        </w:rPr>
      </w:pPr>
      <w:r>
        <w:rPr>
          <w:rFonts w:ascii="Times New Roman" w:hAnsi="Times New Roman" w:eastAsia="宋体"/>
          <w:color w:val="000000"/>
          <w:szCs w:val="21"/>
        </w:rPr>
        <w:t>GB/T 4100</w:t>
      </w:r>
      <w:r>
        <w:rPr>
          <w:rFonts w:hint="eastAsia" w:ascii="Times New Roman" w:hAnsi="Times New Roman" w:eastAsia="宋体"/>
          <w:color w:val="000000"/>
          <w:szCs w:val="21"/>
          <w:lang w:val="en-US" w:eastAsia="zh-CN"/>
        </w:rPr>
        <w:t xml:space="preserve">-2015  </w:t>
      </w:r>
      <w:r>
        <w:rPr>
          <w:rFonts w:ascii="Times New Roman" w:hAnsi="Times New Roman" w:eastAsia="宋体"/>
          <w:color w:val="000000"/>
          <w:szCs w:val="21"/>
        </w:rPr>
        <w:t>陶瓷砖</w:t>
      </w:r>
    </w:p>
    <w:p>
      <w:pPr>
        <w:snapToGrid w:val="0"/>
        <w:spacing w:line="360" w:lineRule="auto"/>
        <w:ind w:firstLine="420" w:firstLineChars="200"/>
        <w:rPr>
          <w:rFonts w:ascii="Times New Roman" w:hAnsi="Times New Roman" w:eastAsia="宋体"/>
          <w:color w:val="000000"/>
          <w:szCs w:val="21"/>
        </w:rPr>
      </w:pPr>
      <w:r>
        <w:rPr>
          <w:rFonts w:ascii="Times New Roman" w:hAnsi="Times New Roman" w:eastAsia="宋体"/>
          <w:color w:val="000000"/>
          <w:szCs w:val="21"/>
        </w:rPr>
        <w:t>GB 6566</w:t>
      </w:r>
      <w:r>
        <w:rPr>
          <w:rFonts w:hint="eastAsia" w:ascii="Times New Roman" w:hAnsi="Times New Roman" w:eastAsia="宋体"/>
          <w:color w:val="000000"/>
          <w:szCs w:val="21"/>
          <w:lang w:val="en-US" w:eastAsia="zh-CN"/>
        </w:rPr>
        <w:t xml:space="preserve">-2010  </w:t>
      </w:r>
      <w:r>
        <w:rPr>
          <w:rFonts w:ascii="Times New Roman" w:hAnsi="Times New Roman" w:eastAsia="宋体"/>
          <w:color w:val="000000"/>
          <w:szCs w:val="21"/>
        </w:rPr>
        <w:t>建筑材料放射性核素限量</w:t>
      </w:r>
    </w:p>
    <w:p>
      <w:pPr>
        <w:snapToGrid w:val="0"/>
        <w:spacing w:line="360" w:lineRule="auto"/>
        <w:ind w:firstLine="420" w:firstLineChars="200"/>
        <w:rPr>
          <w:rFonts w:ascii="Times New Roman" w:hAnsi="Times New Roman" w:eastAsia="宋体"/>
          <w:color w:val="000000"/>
          <w:szCs w:val="21"/>
        </w:rPr>
      </w:pPr>
      <w:r>
        <w:rPr>
          <w:rFonts w:ascii="Times New Roman" w:hAnsi="Times New Roman" w:eastAsia="宋体"/>
          <w:color w:val="000000"/>
          <w:szCs w:val="21"/>
        </w:rPr>
        <w:t>现行有效的企业标准、团体标准、地方标准及产品明示质量要求</w:t>
      </w:r>
    </w:p>
    <w:p>
      <w:pPr>
        <w:snapToGrid w:val="0"/>
        <w:spacing w:line="440" w:lineRule="exact"/>
        <w:rPr>
          <w:rFonts w:hint="eastAsia" w:ascii="宋体" w:hAnsi="宋体"/>
          <w:szCs w:val="21"/>
        </w:rPr>
      </w:pPr>
      <w:r>
        <w:rPr>
          <w:rFonts w:hint="eastAsia" w:ascii="宋体" w:hAnsi="宋体"/>
          <w:szCs w:val="21"/>
        </w:rPr>
        <w:t>3.2判定原则</w:t>
      </w:r>
    </w:p>
    <w:p>
      <w:pPr>
        <w:snapToGrid w:val="0"/>
        <w:spacing w:line="440" w:lineRule="exact"/>
        <w:ind w:firstLine="420" w:firstLineChars="200"/>
        <w:rPr>
          <w:rFonts w:hint="eastAsia" w:ascii="宋体" w:hAnsi="宋体"/>
          <w:szCs w:val="21"/>
        </w:rPr>
      </w:pPr>
      <w:r>
        <w:rPr>
          <w:rFonts w:hint="eastAsia" w:ascii="宋体" w:hAnsi="宋体"/>
          <w:szCs w:val="21"/>
        </w:rPr>
        <w:t>经检验，检验项目全部合格，判定为被抽查产品合格；检验项目中任一项或一项以上不合格，判定为被抽查产品不合格。</w:t>
      </w:r>
    </w:p>
    <w:p>
      <w:pPr>
        <w:snapToGrid w:val="0"/>
        <w:spacing w:line="440" w:lineRule="exact"/>
        <w:ind w:firstLine="420" w:firstLineChars="200"/>
        <w:rPr>
          <w:rFonts w:hint="eastAsia" w:ascii="宋体" w:hAnsi="宋体"/>
          <w:szCs w:val="21"/>
        </w:rPr>
      </w:pPr>
      <w:r>
        <w:rPr>
          <w:rFonts w:hint="eastAsia" w:ascii="宋体" w:hAnsi="宋体"/>
          <w:szCs w:val="21"/>
        </w:rPr>
        <w:t>若被检产品明示的质量要求高于本细则中检验项目依据的标准要求时，应按被检产品明示的质量要求判定。</w:t>
      </w:r>
    </w:p>
    <w:p>
      <w:pPr>
        <w:snapToGrid w:val="0"/>
        <w:spacing w:line="440" w:lineRule="exact"/>
        <w:ind w:firstLine="420" w:firstLineChars="200"/>
        <w:rPr>
          <w:rFonts w:hint="eastAsia" w:ascii="宋体" w:hAnsi="宋体"/>
          <w:szCs w:val="21"/>
        </w:rPr>
      </w:pPr>
      <w:r>
        <w:rPr>
          <w:rFonts w:hint="eastAsia" w:ascii="宋体" w:hAnsi="宋体"/>
          <w:szCs w:val="21"/>
        </w:rPr>
        <w:t>若被检产品明示的质量要求低于本细则中检验项目依据的强制性标准要求时，应按照强制性标准要求判定。</w:t>
      </w:r>
    </w:p>
    <w:p>
      <w:pPr>
        <w:snapToGrid w:val="0"/>
        <w:spacing w:line="440" w:lineRule="exact"/>
        <w:ind w:firstLine="420" w:firstLineChars="200"/>
        <w:rPr>
          <w:rFonts w:hint="eastAsia" w:ascii="宋体" w:hAnsi="宋体"/>
          <w:szCs w:val="21"/>
        </w:rPr>
      </w:pPr>
      <w:r>
        <w:rPr>
          <w:rFonts w:hint="eastAsia" w:ascii="宋体" w:hAnsi="宋体"/>
          <w:szCs w:val="21"/>
        </w:rPr>
        <w:t>若被检产品明示的质量要求低于或包含细则中检验项目依据的推荐性标准要求时，应以被检产品明示的质量要求判定。</w:t>
      </w:r>
    </w:p>
    <w:p>
      <w:pPr>
        <w:snapToGrid w:val="0"/>
        <w:spacing w:line="440" w:lineRule="exact"/>
        <w:ind w:firstLine="420" w:firstLineChars="200"/>
        <w:rPr>
          <w:rFonts w:hint="eastAsia" w:ascii="宋体" w:hAnsi="宋体"/>
          <w:szCs w:val="21"/>
        </w:rPr>
      </w:pPr>
      <w:r>
        <w:rPr>
          <w:rFonts w:hint="eastAsia" w:ascii="宋体" w:hAnsi="宋体"/>
          <w:szCs w:val="21"/>
        </w:rPr>
        <w:t>若被检产品明示的质量要求缺少本细则中检验项目据的强制性标准要求时，应按照强制性标准要求判定。</w:t>
      </w:r>
    </w:p>
    <w:p>
      <w:pPr>
        <w:snapToGrid w:val="0"/>
        <w:spacing w:line="440" w:lineRule="exact"/>
        <w:ind w:firstLine="420" w:firstLineChars="200"/>
        <w:rPr>
          <w:rFonts w:hint="eastAsia" w:ascii="宋体" w:hAnsi="宋体"/>
          <w:szCs w:val="21"/>
        </w:rPr>
      </w:pPr>
      <w:r>
        <w:rPr>
          <w:rFonts w:hint="eastAsia" w:ascii="宋体" w:hAnsi="宋体"/>
          <w:szCs w:val="21"/>
        </w:rPr>
        <w:t>若被检产品明示的质量要求缺少本细则中检验项目依据的推荐性标准要求时，该项目不参与判定，但应在检验报告备注中进行说明。</w:t>
      </w:r>
    </w:p>
    <w:p>
      <w:pPr>
        <w:snapToGrid w:val="0"/>
        <w:spacing w:line="440" w:lineRule="exact"/>
        <w:rPr>
          <w:rFonts w:hint="eastAsia" w:ascii="宋体" w:hAnsi="宋体"/>
          <w:szCs w:val="21"/>
        </w:rPr>
      </w:pPr>
    </w:p>
    <w:p>
      <w:pPr>
        <w:jc w:val="center"/>
        <w:rPr>
          <w:rFonts w:hint="eastAsia" w:ascii="黑体" w:hAnsi="黑体" w:eastAsia="黑体" w:cs="黑体"/>
          <w:sz w:val="28"/>
          <w:szCs w:val="28"/>
        </w:rPr>
      </w:pPr>
    </w:p>
    <w:p>
      <w:pPr>
        <w:spacing w:line="360" w:lineRule="auto"/>
        <w:rPr>
          <w:rFonts w:ascii="Times New Roman" w:hAnsi="Times New Roma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89AB1"/>
    <w:multiLevelType w:val="multilevel"/>
    <w:tmpl w:val="DFF89AB1"/>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5M2FiNWJhMGVhODkzNmIwZDZiOWViMGFiNmM4MDcifQ=="/>
  </w:docVars>
  <w:rsids>
    <w:rsidRoot w:val="00702F45"/>
    <w:rsid w:val="0007409C"/>
    <w:rsid w:val="001A4F39"/>
    <w:rsid w:val="001F1CD2"/>
    <w:rsid w:val="00227D0A"/>
    <w:rsid w:val="00263656"/>
    <w:rsid w:val="003455D3"/>
    <w:rsid w:val="00430103"/>
    <w:rsid w:val="00471F59"/>
    <w:rsid w:val="005279F2"/>
    <w:rsid w:val="0057754B"/>
    <w:rsid w:val="0059265A"/>
    <w:rsid w:val="005C2901"/>
    <w:rsid w:val="005C2C2D"/>
    <w:rsid w:val="00680E34"/>
    <w:rsid w:val="00682F2A"/>
    <w:rsid w:val="0069654A"/>
    <w:rsid w:val="00702F45"/>
    <w:rsid w:val="00742836"/>
    <w:rsid w:val="007D3DA7"/>
    <w:rsid w:val="00802D8E"/>
    <w:rsid w:val="00804376"/>
    <w:rsid w:val="00834A1C"/>
    <w:rsid w:val="00876D4A"/>
    <w:rsid w:val="008B1A38"/>
    <w:rsid w:val="009C1BC4"/>
    <w:rsid w:val="00A24E9F"/>
    <w:rsid w:val="00A31E80"/>
    <w:rsid w:val="00A662C6"/>
    <w:rsid w:val="00AD30FC"/>
    <w:rsid w:val="00B764E7"/>
    <w:rsid w:val="00BD6481"/>
    <w:rsid w:val="00C807DD"/>
    <w:rsid w:val="00C921AB"/>
    <w:rsid w:val="00C9367D"/>
    <w:rsid w:val="00CD7298"/>
    <w:rsid w:val="00D036ED"/>
    <w:rsid w:val="00D63E9A"/>
    <w:rsid w:val="00DE78FD"/>
    <w:rsid w:val="00E223AB"/>
    <w:rsid w:val="00E40B4F"/>
    <w:rsid w:val="00E47F66"/>
    <w:rsid w:val="029B2425"/>
    <w:rsid w:val="03AC64DD"/>
    <w:rsid w:val="0564124B"/>
    <w:rsid w:val="094A72C4"/>
    <w:rsid w:val="0A140428"/>
    <w:rsid w:val="0A8D6314"/>
    <w:rsid w:val="0D8832CE"/>
    <w:rsid w:val="0D9408BD"/>
    <w:rsid w:val="10C5247C"/>
    <w:rsid w:val="17C0483A"/>
    <w:rsid w:val="17E81EF8"/>
    <w:rsid w:val="1C234AC0"/>
    <w:rsid w:val="20145326"/>
    <w:rsid w:val="22DB50A9"/>
    <w:rsid w:val="256B799A"/>
    <w:rsid w:val="286C1810"/>
    <w:rsid w:val="29D15596"/>
    <w:rsid w:val="2B851BBD"/>
    <w:rsid w:val="2C4B162F"/>
    <w:rsid w:val="2D587E68"/>
    <w:rsid w:val="2DDB69E3"/>
    <w:rsid w:val="2E597998"/>
    <w:rsid w:val="2F0D38FB"/>
    <w:rsid w:val="2F7E1D1C"/>
    <w:rsid w:val="339E298D"/>
    <w:rsid w:val="36575075"/>
    <w:rsid w:val="365B5163"/>
    <w:rsid w:val="37E10D09"/>
    <w:rsid w:val="37FF7772"/>
    <w:rsid w:val="38BD5663"/>
    <w:rsid w:val="3C1559FD"/>
    <w:rsid w:val="3CB13731"/>
    <w:rsid w:val="3CD25799"/>
    <w:rsid w:val="4511789E"/>
    <w:rsid w:val="461D3BE5"/>
    <w:rsid w:val="469320F9"/>
    <w:rsid w:val="46E7027B"/>
    <w:rsid w:val="49212EB2"/>
    <w:rsid w:val="49361F8F"/>
    <w:rsid w:val="4AF26AA5"/>
    <w:rsid w:val="4BEE4070"/>
    <w:rsid w:val="5099655E"/>
    <w:rsid w:val="5100610C"/>
    <w:rsid w:val="51B562B3"/>
    <w:rsid w:val="53AC4599"/>
    <w:rsid w:val="54714A29"/>
    <w:rsid w:val="57CD1BFD"/>
    <w:rsid w:val="5866141B"/>
    <w:rsid w:val="63F2560B"/>
    <w:rsid w:val="650A75D2"/>
    <w:rsid w:val="66303069"/>
    <w:rsid w:val="666845B1"/>
    <w:rsid w:val="6BFF7765"/>
    <w:rsid w:val="6EAE7221"/>
    <w:rsid w:val="721E45B2"/>
    <w:rsid w:val="74827185"/>
    <w:rsid w:val="75EF3C75"/>
    <w:rsid w:val="769D7DF1"/>
    <w:rsid w:val="78252301"/>
    <w:rsid w:val="7A6D0496"/>
    <w:rsid w:val="7B1F5E6F"/>
    <w:rsid w:val="7B382ECC"/>
    <w:rsid w:val="7D1A5DA5"/>
    <w:rsid w:val="BF54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paragraph" w:customStyle="1" w:styleId="9">
    <w:name w:val="方案正文"/>
    <w:basedOn w:val="1"/>
    <w:autoRedefine/>
    <w:qFormat/>
    <w:uiPriority w:val="0"/>
    <w:pPr>
      <w:spacing w:line="360" w:lineRule="auto"/>
      <w:ind w:firstLine="560" w:firstLineChars="200"/>
    </w:pPr>
    <w:rPr>
      <w:rFonts w:ascii="仿宋_GB2312" w:hAnsi="宋体" w:eastAsia="仿宋_GB2312"/>
      <w:color w:val="000000"/>
      <w:sz w:val="28"/>
      <w:szCs w:val="28"/>
      <w:u w:color="000000"/>
    </w:rPr>
  </w:style>
  <w:style w:type="character" w:customStyle="1" w:styleId="10">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639</Words>
  <Characters>727</Characters>
  <Lines>20</Lines>
  <Paragraphs>5</Paragraphs>
  <TotalTime>3</TotalTime>
  <ScaleCrop>false</ScaleCrop>
  <LinksUpToDate>false</LinksUpToDate>
  <CharactersWithSpaces>749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2020-09-05T00:12:00Z</dcterms:created>
  <dc:creator>Administrator</dc:creator>
  <cp:lastModifiedBy>柏雪</cp:lastModifiedBy>
  <dcterms:modified xsi:type="dcterms:W3CDTF">2024-02-28T08:10:18Z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A2561823D6BE4980BFCBD52155B21244</vt:lpwstr>
  </property>
</Properties>
</file>