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黄石市电动自行车产品质量监督抽查实施细则</w:t>
      </w:r>
    </w:p>
    <w:p>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w:t>
      </w:r>
      <w:r>
        <w:rPr>
          <w:rFonts w:hint="eastAsia" w:eastAsia="方正小标宋简体" w:cs="方正仿宋简体"/>
          <w:color w:val="000000"/>
          <w:sz w:val="32"/>
          <w:szCs w:val="32"/>
          <w:lang w:val="en-US" w:eastAsia="zh-CN"/>
        </w:rPr>
        <w:t>年</w:t>
      </w:r>
      <w:r>
        <w:rPr>
          <w:rFonts w:hint="eastAsia" w:ascii="Times New Roman" w:hAnsi="Times New Roman" w:eastAsia="方正小标宋简体" w:cs="方正仿宋简体"/>
          <w:color w:val="000000"/>
          <w:sz w:val="32"/>
          <w:szCs w:val="32"/>
          <w:lang w:val="en-US" w:eastAsia="zh-CN"/>
        </w:rPr>
        <w:t>版）</w:t>
      </w:r>
    </w:p>
    <w:p>
      <w:pPr>
        <w:pStyle w:val="4"/>
      </w:pPr>
    </w:p>
    <w:p>
      <w:pPr>
        <w:snapToGrid w:val="0"/>
        <w:spacing w:line="44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1 </w:t>
      </w:r>
      <w:r>
        <w:rPr>
          <w:rFonts w:hint="eastAsia" w:cs="Times New Roman"/>
          <w:sz w:val="21"/>
          <w:szCs w:val="21"/>
          <w:lang w:val="en-US" w:eastAsia="zh-CN"/>
        </w:rPr>
        <w:t xml:space="preserve">  </w:t>
      </w:r>
      <w:r>
        <w:rPr>
          <w:rFonts w:ascii="Times New Roman" w:hAnsi="Times New Roman" w:eastAsia="宋体" w:cs="Times New Roman"/>
          <w:sz w:val="21"/>
          <w:szCs w:val="21"/>
        </w:rPr>
        <w:t>抽样方法</w:t>
      </w:r>
    </w:p>
    <w:p>
      <w:pPr>
        <w:snapToGrid w:val="0"/>
        <w:spacing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以随机抽样的方式在被抽样生产者、销售者的待销产品中抽取</w:t>
      </w:r>
      <w:bookmarkStart w:id="0" w:name="_GoBack"/>
      <w:bookmarkEnd w:id="0"/>
      <w:r>
        <w:rPr>
          <w:rFonts w:ascii="Times New Roman" w:hAnsi="Times New Roman" w:eastAsia="宋体" w:cs="Times New Roman"/>
          <w:sz w:val="21"/>
          <w:szCs w:val="21"/>
        </w:rPr>
        <w:t>。</w:t>
      </w:r>
    </w:p>
    <w:p>
      <w:pPr>
        <w:snapToGrid w:val="0"/>
        <w:spacing w:line="44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每批次产品抽取样品2辆，其中1辆作为检验样品，1辆作为备用样品。</w:t>
      </w:r>
    </w:p>
    <w:p>
      <w:pPr>
        <w:snapToGrid w:val="0"/>
        <w:spacing w:line="440" w:lineRule="exact"/>
        <w:rPr>
          <w:rFonts w:ascii="Times New Roman" w:hAnsi="Times New Roman" w:eastAsia="宋体" w:cs="Times New Roman"/>
          <w:sz w:val="21"/>
          <w:szCs w:val="21"/>
        </w:rPr>
      </w:pPr>
    </w:p>
    <w:p>
      <w:pPr>
        <w:snapToGrid w:val="0"/>
        <w:spacing w:line="440" w:lineRule="exac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 xml:space="preserve"> </w:t>
      </w:r>
      <w:r>
        <w:rPr>
          <w:rFonts w:hint="eastAsia" w:cs="Times New Roman"/>
          <w:sz w:val="21"/>
          <w:szCs w:val="21"/>
          <w:lang w:val="en-US" w:eastAsia="zh-CN"/>
        </w:rPr>
        <w:t xml:space="preserve">  </w:t>
      </w:r>
      <w:r>
        <w:rPr>
          <w:rFonts w:ascii="Times New Roman" w:hAnsi="Times New Roman" w:eastAsia="宋体" w:cs="Times New Roman"/>
          <w:sz w:val="21"/>
          <w:szCs w:val="21"/>
        </w:rPr>
        <w:t>检验依据</w:t>
      </w:r>
    </w:p>
    <w:p>
      <w:pPr>
        <w:snapToGrid w:val="0"/>
        <w:spacing w:line="44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表</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 电动自行车</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906"/>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75" w:type="pct"/>
            <w:noWrap w:val="0"/>
            <w:vAlign w:val="center"/>
          </w:tcPr>
          <w:p>
            <w:pPr>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2292" w:type="pct"/>
            <w:noWrap w:val="0"/>
            <w:vAlign w:val="center"/>
          </w:tcPr>
          <w:p>
            <w:pPr>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检验项目</w:t>
            </w:r>
          </w:p>
        </w:tc>
        <w:tc>
          <w:tcPr>
            <w:tcW w:w="2131" w:type="pct"/>
            <w:noWrap w:val="0"/>
            <w:vAlign w:val="center"/>
          </w:tcPr>
          <w:p>
            <w:pPr>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1</w:t>
            </w:r>
          </w:p>
        </w:tc>
        <w:tc>
          <w:tcPr>
            <w:tcW w:w="22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color w:val="000000"/>
                <w:kern w:val="0"/>
                <w:sz w:val="21"/>
                <w:szCs w:val="21"/>
              </w:rPr>
              <w:t>整车编码</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2</w:t>
            </w:r>
          </w:p>
        </w:tc>
        <w:tc>
          <w:tcPr>
            <w:tcW w:w="2292" w:type="pct"/>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color w:val="000000"/>
                <w:kern w:val="0"/>
                <w:sz w:val="21"/>
                <w:szCs w:val="21"/>
              </w:rPr>
              <w:t>电动机编码</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3</w:t>
            </w:r>
          </w:p>
        </w:tc>
        <w:tc>
          <w:tcPr>
            <w:tcW w:w="2292" w:type="pct"/>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color w:val="000000"/>
                <w:kern w:val="0"/>
                <w:sz w:val="21"/>
                <w:szCs w:val="21"/>
              </w:rPr>
              <w:t>铭牌</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4</w:t>
            </w:r>
          </w:p>
        </w:tc>
        <w:tc>
          <w:tcPr>
            <w:tcW w:w="2292" w:type="pct"/>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color w:val="000000"/>
                <w:kern w:val="0"/>
                <w:sz w:val="21"/>
                <w:szCs w:val="21"/>
              </w:rPr>
              <w:t>合格证</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5</w:t>
            </w:r>
          </w:p>
        </w:tc>
        <w:tc>
          <w:tcPr>
            <w:tcW w:w="2292" w:type="pct"/>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尺寸限值</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6</w:t>
            </w:r>
          </w:p>
        </w:tc>
        <w:tc>
          <w:tcPr>
            <w:tcW w:w="2292" w:type="pct"/>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脚踏骑行能力</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5" w:type="pc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7</w:t>
            </w:r>
          </w:p>
        </w:tc>
        <w:tc>
          <w:tcPr>
            <w:tcW w:w="2292" w:type="pct"/>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防碰擦</w:t>
            </w:r>
          </w:p>
        </w:tc>
        <w:tc>
          <w:tcPr>
            <w:tcW w:w="2131" w:type="pct"/>
            <w:noWrap w:val="0"/>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GB 17761</w:t>
            </w:r>
            <w:r>
              <w:rPr>
                <w:rFonts w:hint="eastAsia" w:ascii="Times New Roman" w:hAnsi="Times New Roman" w:eastAsia="宋体" w:cs="Times New Roman"/>
                <w:sz w:val="21"/>
                <w:szCs w:val="21"/>
              </w:rPr>
              <w:t>—</w:t>
            </w:r>
            <w:r>
              <w:rPr>
                <w:rFonts w:ascii="Times New Roman" w:hAnsi="Times New Roman" w:eastAsia="宋体" w:cs="Times New Roman"/>
                <w:sz w:val="21"/>
                <w:szCs w:val="21"/>
              </w:rPr>
              <w:t>2018</w:t>
            </w:r>
          </w:p>
        </w:tc>
      </w:tr>
    </w:tbl>
    <w:p>
      <w:pPr>
        <w:adjustRightInd w:val="0"/>
        <w:snapToGrid w:val="0"/>
        <w:spacing w:line="440" w:lineRule="exact"/>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执行企业标准、团体标准、地方标准的产品，检验项目参照上述内容执行。</w:t>
      </w:r>
    </w:p>
    <w:p>
      <w:pPr>
        <w:adjustRightInd w:val="0"/>
        <w:snapToGrid w:val="0"/>
        <w:spacing w:line="440" w:lineRule="exact"/>
        <w:ind w:firstLine="420" w:firstLineChars="20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420" w:firstLineChars="200"/>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依照有关规定或产品适用标准，需要检测的其他项目，可视情况进行调整。</w:t>
      </w:r>
    </w:p>
    <w:p>
      <w:pPr>
        <w:adjustRightInd w:val="0"/>
        <w:snapToGrid w:val="0"/>
        <w:spacing w:line="440" w:lineRule="exact"/>
        <w:ind w:firstLine="420" w:firstLineChars="200"/>
        <w:rPr>
          <w:rFonts w:hint="eastAsia" w:ascii="Times New Roman" w:hAnsi="Times New Roman" w:eastAsia="宋体" w:cs="Times New Roman"/>
          <w:color w:val="000000"/>
          <w:sz w:val="21"/>
          <w:szCs w:val="21"/>
        </w:rPr>
      </w:pP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 xml:space="preserve"> </w:t>
      </w:r>
      <w:r>
        <w:rPr>
          <w:rFonts w:hint="eastAsia" w:cs="Times New Roman"/>
          <w:sz w:val="21"/>
          <w:szCs w:val="21"/>
          <w:lang w:val="en-US" w:eastAsia="zh-CN"/>
        </w:rPr>
        <w:t xml:space="preserve">  </w:t>
      </w:r>
      <w:r>
        <w:rPr>
          <w:rFonts w:ascii="Times New Roman" w:hAnsi="Times New Roman" w:eastAsia="宋体" w:cs="Times New Roman"/>
          <w:sz w:val="21"/>
          <w:szCs w:val="21"/>
        </w:rPr>
        <w:t>判定规则</w:t>
      </w:r>
    </w:p>
    <w:p>
      <w:pPr>
        <w:snapToGrid w:val="0"/>
        <w:spacing w:line="440" w:lineRule="exac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.1</w:t>
      </w:r>
      <w:r>
        <w:rPr>
          <w:rFonts w:hint="eastAsia" w:cs="Times New Roman"/>
          <w:sz w:val="21"/>
          <w:szCs w:val="21"/>
          <w:lang w:val="en-US" w:eastAsia="zh-CN"/>
        </w:rPr>
        <w:t xml:space="preserve"> </w:t>
      </w:r>
      <w:r>
        <w:rPr>
          <w:rFonts w:ascii="Times New Roman" w:hAnsi="Times New Roman" w:eastAsia="宋体" w:cs="Times New Roman"/>
          <w:sz w:val="21"/>
          <w:szCs w:val="21"/>
        </w:rPr>
        <w:t>依据标准</w:t>
      </w:r>
    </w:p>
    <w:p>
      <w:pPr>
        <w:snapToGrid w:val="0"/>
        <w:spacing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GB</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17761</w:t>
      </w:r>
      <w:r>
        <w:rPr>
          <w:rFonts w:hint="eastAsia" w:cs="Times New Roman"/>
          <w:sz w:val="21"/>
          <w:szCs w:val="21"/>
          <w:lang w:val="en-US" w:eastAsia="zh-CN"/>
        </w:rPr>
        <w:t>-</w:t>
      </w:r>
      <w:r>
        <w:rPr>
          <w:rFonts w:ascii="Times New Roman" w:hAnsi="Times New Roman" w:eastAsia="宋体" w:cs="Times New Roman"/>
          <w:sz w:val="21"/>
          <w:szCs w:val="21"/>
        </w:rPr>
        <w:t>2018 电动自行车安全技术规范</w:t>
      </w:r>
    </w:p>
    <w:p>
      <w:pPr>
        <w:snapToGrid w:val="0"/>
        <w:spacing w:line="440" w:lineRule="exact"/>
        <w:ind w:firstLine="420" w:firstLineChars="200"/>
        <w:rPr>
          <w:rFonts w:hint="eastAsia" w:ascii="Times New Roman" w:hAnsi="Times New Roman" w:eastAsia="宋体" w:cs="Times New Roman"/>
          <w:b/>
          <w:bCs/>
          <w:sz w:val="21"/>
          <w:szCs w:val="21"/>
        </w:rPr>
      </w:pPr>
      <w:r>
        <w:rPr>
          <w:rFonts w:hint="eastAsia" w:ascii="Times New Roman" w:hAnsi="Times New Roman" w:eastAsia="宋体" w:cs="Times New Roman"/>
          <w:sz w:val="21"/>
          <w:szCs w:val="21"/>
        </w:rPr>
        <w:t>GB 42295</w:t>
      </w:r>
      <w:r>
        <w:rPr>
          <w:rFonts w:hint="eastAsia" w:cs="Times New Roman"/>
          <w:sz w:val="21"/>
          <w:szCs w:val="21"/>
          <w:lang w:val="en-US" w:eastAsia="zh-CN"/>
        </w:rPr>
        <w:t>-</w:t>
      </w:r>
      <w:r>
        <w:rPr>
          <w:rFonts w:hint="eastAsia" w:ascii="Times New Roman" w:hAnsi="Times New Roman" w:eastAsia="宋体" w:cs="Times New Roman"/>
          <w:sz w:val="21"/>
          <w:szCs w:val="21"/>
        </w:rPr>
        <w:t xml:space="preserve">2022 </w:t>
      </w:r>
      <w:r>
        <w:rPr>
          <w:rFonts w:ascii="Times New Roman" w:hAnsi="Times New Roman" w:eastAsia="宋体" w:cs="Times New Roman"/>
          <w:sz w:val="21"/>
          <w:szCs w:val="21"/>
        </w:rPr>
        <w:t>电动自行车电气安全要求</w:t>
      </w:r>
    </w:p>
    <w:p>
      <w:pPr>
        <w:snapToGrid w:val="0"/>
        <w:spacing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现行有效的企业标准、团体标准、地方标准及产品明示质量要求</w:t>
      </w:r>
    </w:p>
    <w:p>
      <w:pPr>
        <w:snapToGrid w:val="0"/>
        <w:spacing w:line="440" w:lineRule="exac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.2</w:t>
      </w:r>
      <w:r>
        <w:rPr>
          <w:rFonts w:hint="eastAsia" w:cs="Times New Roman"/>
          <w:sz w:val="21"/>
          <w:szCs w:val="21"/>
          <w:lang w:val="en-US" w:eastAsia="zh-CN"/>
        </w:rPr>
        <w:t xml:space="preserve"> </w:t>
      </w:r>
      <w:r>
        <w:rPr>
          <w:rFonts w:ascii="Times New Roman" w:hAnsi="Times New Roman" w:eastAsia="宋体" w:cs="Times New Roman"/>
          <w:sz w:val="21"/>
          <w:szCs w:val="21"/>
        </w:rPr>
        <w:t>判定原则</w:t>
      </w:r>
    </w:p>
    <w:p>
      <w:pPr>
        <w:snapToGrid w:val="0"/>
        <w:spacing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经检验，检验项目全部合格，判定为被抽查产品</w:t>
      </w:r>
      <w:r>
        <w:rPr>
          <w:rFonts w:hint="eastAsia" w:ascii="Times New Roman" w:hAnsi="Times New Roman" w:eastAsia="宋体" w:cs="Times New Roman"/>
          <w:sz w:val="21"/>
          <w:szCs w:val="21"/>
        </w:rPr>
        <w:t>所检项目未发现不</w:t>
      </w:r>
      <w:r>
        <w:rPr>
          <w:rFonts w:ascii="Times New Roman" w:hAnsi="Times New Roman" w:eastAsia="宋体" w:cs="Times New Roman"/>
          <w:sz w:val="21"/>
          <w:szCs w:val="21"/>
        </w:rPr>
        <w:t>合格；检验项目中任一项或一项以上不合格，判定为被抽查产品不合格。</w:t>
      </w:r>
    </w:p>
    <w:p>
      <w:pPr>
        <w:snapToGrid w:val="0"/>
        <w:spacing w:line="440" w:lineRule="exact"/>
        <w:ind w:firstLine="417" w:firstLineChars="199"/>
        <w:rPr>
          <w:rFonts w:ascii="Times New Roman" w:hAnsi="Times New Roman" w:eastAsia="宋体" w:cs="Times New Roman"/>
          <w:sz w:val="21"/>
          <w:szCs w:val="21"/>
        </w:rPr>
      </w:pPr>
      <w:r>
        <w:rPr>
          <w:rFonts w:ascii="Times New Roman" w:hAnsi="Times New Roman" w:eastAsia="宋体" w:cs="Times New Roman"/>
          <w:sz w:val="21"/>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Times New Roman" w:hAnsi="Times New Roman" w:eastAsia="宋体" w:cs="Times New Roman"/>
          <w:sz w:val="21"/>
          <w:szCs w:val="21"/>
        </w:rPr>
      </w:pPr>
      <w:r>
        <w:rPr>
          <w:rFonts w:ascii="Times New Roman" w:hAnsi="Times New Roman" w:eastAsia="宋体" w:cs="Times New Roman"/>
          <w:sz w:val="21"/>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eastAsia" w:ascii="Times New Roman" w:hAnsi="Times New Roman" w:eastAsia="宋体" w:cs="Times New Roman"/>
          <w:b/>
          <w:bCs/>
          <w:sz w:val="21"/>
          <w:szCs w:val="21"/>
        </w:rPr>
      </w:pPr>
      <w:r>
        <w:rPr>
          <w:rFonts w:ascii="Times New Roman" w:hAnsi="Times New Roman" w:eastAsia="宋体" w:cs="Times New Roman"/>
          <w:sz w:val="21"/>
          <w:szCs w:val="21"/>
        </w:rPr>
        <w:t>若被检产品明示的质量要求缺少本细则中检验项目依据的强制性标准要求时，应按照强制性标准要求判定。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WJmYzVjYmMyMWEwZmMwOTI0OWM4YmI3NGI1ZjkifQ=="/>
  </w:docVars>
  <w:rsids>
    <w:rsidRoot w:val="71D251FF"/>
    <w:rsid w:val="16205197"/>
    <w:rsid w:val="2A036FB1"/>
    <w:rsid w:val="2DEBD254"/>
    <w:rsid w:val="34941779"/>
    <w:rsid w:val="3ED62298"/>
    <w:rsid w:val="427A5CFF"/>
    <w:rsid w:val="56473DBE"/>
    <w:rsid w:val="635521B8"/>
    <w:rsid w:val="6A7FFC27"/>
    <w:rsid w:val="71D251FF"/>
    <w:rsid w:val="75DD462A"/>
    <w:rsid w:val="98FB9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Body Text Indent"/>
    <w:basedOn w:val="1"/>
    <w:qFormat/>
    <w:uiPriority w:val="0"/>
    <w:pPr>
      <w:spacing w:after="120" w:afterLines="0" w:afterAutospacing="0"/>
      <w:ind w:left="420" w:leftChars="200"/>
    </w:pPr>
  </w:style>
  <w:style w:type="paragraph" w:styleId="5">
    <w:name w:val="Plain Text"/>
    <w:basedOn w:val="1"/>
    <w:qFormat/>
    <w:uiPriority w:val="99"/>
    <w:rPr>
      <w:rFonts w:ascii="宋体" w:hAnsi="Courier New"/>
      <w:kern w:val="0"/>
      <w:sz w:val="20"/>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Emphasis"/>
    <w:basedOn w:val="10"/>
    <w:qFormat/>
    <w:uiPriority w:val="0"/>
    <w:rPr>
      <w:i/>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4">
    <w:name w:val="List Paragraph"/>
    <w:basedOn w:val="1"/>
    <w:qFormat/>
    <w:uiPriority w:val="1"/>
    <w:pPr>
      <w:ind w:left="370" w:hanging="213"/>
    </w:pPr>
    <w:rPr>
      <w:rFonts w:ascii="黑体" w:hAnsi="黑体" w:eastAsia="黑体" w:cs="黑体"/>
      <w:lang w:val="zh-CN" w:eastAsia="zh-CN" w:bidi="zh-CN"/>
    </w:rPr>
  </w:style>
  <w:style w:type="paragraph" w:customStyle="1" w:styleId="15">
    <w:name w:val="Table Paragraph"/>
    <w:basedOn w:val="1"/>
    <w:qFormat/>
    <w:uiPriority w:val="1"/>
    <w:pPr>
      <w:spacing w:before="110"/>
      <w:ind w:left="46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661</Characters>
  <Lines>0</Lines>
  <Paragraphs>0</Paragraphs>
  <TotalTime>171</TotalTime>
  <ScaleCrop>false</ScaleCrop>
  <LinksUpToDate>false</LinksUpToDate>
  <CharactersWithSpaces>676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2024-10-30T10:01:00Z</dcterms:created>
  <dc:creator>小泡芙</dc:creator>
  <cp:lastModifiedBy>greatwall</cp:lastModifiedBy>
  <dcterms:modified xsi:type="dcterms:W3CDTF">2025-08-26T10:00:10Z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692FCB7971A04E268A45D73F7485B40D_11</vt:lpwstr>
  </property>
</Properties>
</file>