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b/>
          <w:bCs/>
          <w:sz w:val="48"/>
        </w:rPr>
      </w:pPr>
    </w:p>
    <w:p>
      <w:pPr>
        <w:jc w:val="center"/>
        <w:rPr>
          <w:b/>
          <w:sz w:val="32"/>
          <w:szCs w:val="32"/>
        </w:rPr>
      </w:pPr>
      <w:bookmarkStart w:id="0" w:name="OLE_LINK1"/>
      <w:r>
        <w:rPr>
          <w:rFonts w:hint="eastAsia"/>
          <w:b/>
          <w:sz w:val="32"/>
          <w:szCs w:val="32"/>
          <w:lang w:eastAsia="zh-CN"/>
        </w:rPr>
        <w:t>黄石市</w:t>
      </w:r>
      <w:r>
        <w:rPr>
          <w:rFonts w:hint="eastAsia"/>
          <w:b/>
          <w:sz w:val="32"/>
          <w:szCs w:val="32"/>
          <w:lang w:val="en-US" w:eastAsia="zh-CN"/>
        </w:rPr>
        <w:t>A级不燃性建筑材料</w:t>
      </w:r>
      <w:r>
        <w:rPr>
          <w:rFonts w:hint="eastAsia"/>
          <w:b/>
          <w:sz w:val="32"/>
          <w:szCs w:val="32"/>
        </w:rPr>
        <w:t>产品</w:t>
      </w:r>
    </w:p>
    <w:p>
      <w:pPr>
        <w:jc w:val="center"/>
        <w:rPr>
          <w:rFonts w:hint="default" w:ascii="宋体" w:hAnsi="宋体" w:eastAsiaTheme="minorEastAsia"/>
          <w:color w:val="000000"/>
          <w:szCs w:val="21"/>
          <w:lang w:val="en-US" w:eastAsia="zh-CN"/>
        </w:rPr>
      </w:pPr>
      <w:r>
        <w:rPr>
          <w:rFonts w:hint="eastAsia"/>
          <w:b/>
          <w:sz w:val="32"/>
          <w:szCs w:val="32"/>
        </w:rPr>
        <w:t>质量监督抽查实施细则</w:t>
      </w:r>
      <w:r>
        <w:rPr>
          <w:rFonts w:hint="eastAsia"/>
          <w:b/>
          <w:sz w:val="32"/>
          <w:szCs w:val="32"/>
          <w:lang w:val="en-US" w:eastAsia="zh-CN"/>
        </w:rPr>
        <w:t>(2025年版)</w:t>
      </w:r>
    </w:p>
    <w:bookmarkEnd w:id="0"/>
    <w:p>
      <w:pPr>
        <w:spacing w:line="360" w:lineRule="auto"/>
        <w:rPr>
          <w:rFonts w:ascii="宋体" w:hAnsi="宋体"/>
          <w:b/>
          <w:color w:val="000000"/>
          <w:szCs w:val="21"/>
        </w:rPr>
      </w:pPr>
      <w:r>
        <w:rPr>
          <w:rFonts w:hint="eastAsia" w:ascii="宋体" w:hAnsi="宋体"/>
          <w:b/>
          <w:color w:val="000000"/>
          <w:szCs w:val="21"/>
        </w:rPr>
        <w:t>1  抽样方法</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以随机抽样的方式在被抽样生产者、销售者的待销产品中抽取。</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随机数一般可使用随机数表等方法产生。</w:t>
      </w:r>
    </w:p>
    <w:p>
      <w:pPr>
        <w:adjustRightInd w:val="0"/>
        <w:snapToGrid w:val="0"/>
        <w:spacing w:line="44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A(A1)级的每批次抽检数量为（仅限匀质材料）：</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检验样品：500mm×500mm,1块检验，1块备样</w:t>
      </w:r>
      <w:r>
        <w:rPr>
          <w:rFonts w:hint="eastAsia" w:ascii="Times New Roman" w:hAnsi="Times New Roman" w:eastAsia="宋体" w:cs="Times New Roman"/>
          <w:szCs w:val="21"/>
        </w:rPr>
        <w:t>。</w:t>
      </w:r>
    </w:p>
    <w:p>
      <w:pPr>
        <w:adjustRightInd w:val="0"/>
        <w:snapToGrid w:val="0"/>
        <w:spacing w:line="44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A(A1)级的每批次抽检数量为（仅限复合材料）：</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检验样品：500mm×500mm,1块检验，1块备样，另需提供每层材料:500mm×500mm检验样品各1块，备用样品各1块</w:t>
      </w:r>
      <w:r>
        <w:rPr>
          <w:rFonts w:hint="eastAsia" w:ascii="Times New Roman" w:hAnsi="Times New Roman" w:eastAsia="宋体" w:cs="Times New Roman"/>
          <w:szCs w:val="21"/>
        </w:rPr>
        <w:t>。</w:t>
      </w:r>
    </w:p>
    <w:p>
      <w:pPr>
        <w:adjustRightInd w:val="0"/>
        <w:snapToGrid w:val="0"/>
        <w:spacing w:line="44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A(A2)级的每批次抽检数量为（仅限匀质材料或选作不燃性试验和单体燃烧试验的复合材料）：</w:t>
      </w:r>
    </w:p>
    <w:p>
      <w:pPr>
        <w:adjustRightInd w:val="0"/>
        <w:snapToGrid w:val="0"/>
        <w:spacing w:line="44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检验样品：1500mm×1000mm 3块检验，3块备样，1500mm×500mm 3块检验，3块备样，500mm×500mm 1块检验1块备样。</w:t>
      </w:r>
    </w:p>
    <w:p>
      <w:pPr>
        <w:adjustRightInd w:val="0"/>
        <w:snapToGrid w:val="0"/>
        <w:spacing w:line="44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A(A2)级的每批次抽检数量为（仅限选作燃烧热值试验和单体燃烧试验的复合材料）：</w:t>
      </w:r>
    </w:p>
    <w:p>
      <w:pPr>
        <w:adjustRightInd w:val="0"/>
        <w:snapToGrid w:val="0"/>
        <w:spacing w:line="44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检验样品：1500mm×1000mm 3块检验，3块备样，1500mm×500mm 3块检验，3块备样，500mm×500mm 1块检验1块备样。</w:t>
      </w:r>
    </w:p>
    <w:p>
      <w:pPr>
        <w:spacing w:line="360" w:lineRule="auto"/>
        <w:rPr>
          <w:rFonts w:ascii="宋体" w:hAnsi="宋体"/>
          <w:b/>
          <w:color w:val="000000"/>
          <w:szCs w:val="21"/>
        </w:rPr>
      </w:pPr>
      <w:r>
        <w:rPr>
          <w:rFonts w:hint="eastAsia" w:ascii="宋体" w:hAnsi="宋体"/>
          <w:b/>
          <w:color w:val="000000"/>
          <w:szCs w:val="21"/>
        </w:rPr>
        <w:t>2   检验依据</w:t>
      </w:r>
    </w:p>
    <w:p>
      <w:pPr>
        <w:adjustRightInd w:val="0"/>
        <w:snapToGrid w:val="0"/>
        <w:spacing w:line="440" w:lineRule="exact"/>
        <w:rPr>
          <w:rFonts w:hint="eastAsia" w:ascii="Times New Roman" w:hAnsi="Times New Roman" w:eastAsia="宋体" w:cs="Times New Roman"/>
          <w:szCs w:val="21"/>
        </w:rPr>
      </w:pPr>
      <w:r>
        <w:rPr>
          <w:rFonts w:hint="eastAsia" w:ascii="Times New Roman" w:hAnsi="Times New Roman" w:eastAsia="宋体" w:cs="Times New Roman"/>
          <w:szCs w:val="21"/>
        </w:rPr>
        <w:t>2.1 凡是注日期的文件，其随后所有的修改单（不包括勘误的内容）或修订版不适用于本细则。凡是不注日期的文件，其最新版本适用于本细则。</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8624-2012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《建筑材料及制品燃烧性能分级》</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GB/T 5464</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《建筑材料不燃性试验方法》</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GB/T 14402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《建筑材料及制品的燃烧性能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燃烧热值的测定》</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20284</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《建筑材料或制品的单体燃烧试验》</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相关的法律法规、部门规章和规范。经备案现行有效的企业标准及产品明示质量要求。</w:t>
      </w:r>
    </w:p>
    <w:p>
      <w:pPr>
        <w:adjustRightInd w:val="0"/>
        <w:snapToGrid w:val="0"/>
        <w:spacing w:line="440" w:lineRule="exact"/>
        <w:rPr>
          <w:rFonts w:hint="eastAsia" w:ascii="Times New Roman" w:hAnsi="Times New Roman" w:eastAsia="宋体" w:cs="Times New Roman"/>
          <w:szCs w:val="21"/>
        </w:rPr>
      </w:pPr>
      <w:r>
        <w:rPr>
          <w:rFonts w:hint="eastAsia" w:ascii="Times New Roman" w:hAnsi="Times New Roman" w:eastAsia="宋体" w:cs="Times New Roman"/>
          <w:szCs w:val="21"/>
        </w:rPr>
        <w:t>2.2 监督抽查检验项目详见表</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w:t>
      </w:r>
    </w:p>
    <w:p>
      <w:pPr>
        <w:snapToGrid w:val="0"/>
        <w:spacing w:line="440" w:lineRule="exact"/>
        <w:jc w:val="center"/>
        <w:rPr>
          <w:rFonts w:ascii="宋体" w:hAnsi="宋体"/>
          <w:color w:val="000000"/>
          <w:szCs w:val="21"/>
        </w:rPr>
      </w:pPr>
      <w:r>
        <w:rPr>
          <w:rFonts w:hint="eastAsia" w:ascii="宋体" w:hAnsi="宋体"/>
          <w:color w:val="000000"/>
          <w:szCs w:val="21"/>
        </w:rPr>
        <w:t>表</w:t>
      </w:r>
      <w:r>
        <w:rPr>
          <w:rFonts w:hint="eastAsia" w:ascii="宋体" w:hAnsi="宋体"/>
          <w:color w:val="000000"/>
          <w:szCs w:val="21"/>
          <w:lang w:val="en-US" w:eastAsia="zh-CN"/>
        </w:rPr>
        <w:t>1</w:t>
      </w:r>
      <w:r>
        <w:rPr>
          <w:rFonts w:hint="eastAsia" w:ascii="宋体" w:hAnsi="宋体"/>
          <w:color w:val="000000"/>
          <w:szCs w:val="21"/>
        </w:rPr>
        <w:t xml:space="preserve">  </w:t>
      </w:r>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163"/>
        <w:gridCol w:w="448"/>
        <w:gridCol w:w="3065"/>
        <w:gridCol w:w="237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611" w:type="dxa"/>
            <w:gridSpan w:val="2"/>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材料燃烧</w:t>
            </w:r>
          </w:p>
          <w:p>
            <w:pPr>
              <w:widowControl/>
              <w:jc w:val="center"/>
              <w:rPr>
                <w:rFonts w:ascii="宋体" w:hAnsi="宋体" w:cs="宋体"/>
                <w:b/>
                <w:color w:val="000000"/>
                <w:kern w:val="0"/>
                <w:szCs w:val="21"/>
              </w:rPr>
            </w:pPr>
            <w:r>
              <w:rPr>
                <w:rFonts w:hint="eastAsia" w:ascii="宋体" w:hAnsi="宋体" w:cs="宋体"/>
                <w:b/>
                <w:color w:val="000000"/>
                <w:kern w:val="0"/>
                <w:szCs w:val="21"/>
              </w:rPr>
              <w:t>性能分级</w:t>
            </w:r>
          </w:p>
        </w:tc>
        <w:tc>
          <w:tcPr>
            <w:tcW w:w="3065" w:type="dxa"/>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378" w:type="dxa"/>
            <w:vAlign w:val="center"/>
          </w:tcPr>
          <w:p>
            <w:pPr>
              <w:widowControl/>
              <w:jc w:val="center"/>
              <w:rPr>
                <w:rFonts w:hint="eastAsia" w:ascii="宋体" w:hAnsi="宋体" w:cs="宋体"/>
                <w:b/>
                <w:color w:val="000000"/>
                <w:kern w:val="0"/>
                <w:szCs w:val="21"/>
                <w:lang w:val="en-US" w:eastAsia="zh-CN"/>
              </w:rPr>
            </w:pPr>
            <w:r>
              <w:rPr>
                <w:rFonts w:hint="eastAsia" w:ascii="宋体" w:hAnsi="宋体" w:cs="宋体"/>
                <w:b/>
                <w:color w:val="000000"/>
                <w:kern w:val="0"/>
                <w:szCs w:val="21"/>
                <w:lang w:val="en-US" w:eastAsia="zh-CN"/>
              </w:rPr>
              <w:t>检验依据</w:t>
            </w:r>
          </w:p>
        </w:tc>
        <w:tc>
          <w:tcPr>
            <w:tcW w:w="2378" w:type="dxa"/>
            <w:vAlign w:val="center"/>
          </w:tcPr>
          <w:p>
            <w:pPr>
              <w:widowControl/>
              <w:jc w:val="center"/>
              <w:rPr>
                <w:rFonts w:hint="eastAsia" w:ascii="宋体" w:hAnsi="宋体" w:cs="宋体" w:eastAsiaTheme="minorEastAsia"/>
                <w:b/>
                <w:color w:val="000000"/>
                <w:kern w:val="0"/>
                <w:szCs w:val="21"/>
                <w:lang w:val="en-US" w:eastAsia="zh-CN"/>
              </w:rPr>
            </w:pPr>
            <w:r>
              <w:rPr>
                <w:rFonts w:hint="eastAsia" w:ascii="宋体" w:hAnsi="宋体" w:cs="宋体"/>
                <w:b/>
                <w:color w:val="000000"/>
                <w:kern w:val="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restart"/>
            <w:vAlign w:val="center"/>
          </w:tcPr>
          <w:p>
            <w:pPr>
              <w:spacing w:line="320" w:lineRule="exact"/>
              <w:jc w:val="center"/>
              <w:rPr>
                <w:rFonts w:ascii="宋体" w:hAnsi="宋体"/>
                <w:color w:val="000000"/>
                <w:szCs w:val="21"/>
              </w:rPr>
            </w:pPr>
            <w:r>
              <w:rPr>
                <w:szCs w:val="21"/>
              </w:rPr>
              <w:t>1</w:t>
            </w:r>
          </w:p>
        </w:tc>
        <w:tc>
          <w:tcPr>
            <w:tcW w:w="1163" w:type="dxa"/>
            <w:vMerge w:val="restart"/>
            <w:vAlign w:val="center"/>
          </w:tcPr>
          <w:p>
            <w:pPr>
              <w:spacing w:line="320" w:lineRule="exact"/>
              <w:jc w:val="center"/>
              <w:rPr>
                <w:rFonts w:hint="eastAsia" w:eastAsiaTheme="minorEastAsia"/>
                <w:szCs w:val="21"/>
                <w:lang w:val="en-US" w:eastAsia="zh-CN"/>
              </w:rPr>
            </w:pPr>
            <w:r>
              <w:rPr>
                <w:rFonts w:hint="eastAsia"/>
                <w:szCs w:val="21"/>
              </w:rPr>
              <w:t>A级</w:t>
            </w:r>
            <w:r>
              <w:rPr>
                <w:rFonts w:hint="eastAsia"/>
                <w:szCs w:val="21"/>
                <w:lang w:eastAsia="zh-CN"/>
              </w:rPr>
              <w:t>不燃性建筑材料</w:t>
            </w:r>
          </w:p>
        </w:tc>
        <w:tc>
          <w:tcPr>
            <w:tcW w:w="448" w:type="dxa"/>
            <w:vMerge w:val="restart"/>
            <w:vAlign w:val="center"/>
          </w:tcPr>
          <w:p>
            <w:pPr>
              <w:spacing w:line="320" w:lineRule="exact"/>
              <w:jc w:val="center"/>
              <w:rPr>
                <w:szCs w:val="21"/>
              </w:rPr>
            </w:pPr>
            <w:r>
              <w:rPr>
                <w:rFonts w:hint="eastAsia"/>
                <w:szCs w:val="21"/>
              </w:rPr>
              <w:t>A1级</w:t>
            </w:r>
          </w:p>
        </w:tc>
        <w:tc>
          <w:tcPr>
            <w:tcW w:w="3065" w:type="dxa"/>
            <w:vAlign w:val="center"/>
          </w:tcPr>
          <w:p>
            <w:pPr>
              <w:spacing w:line="320" w:lineRule="exact"/>
              <w:jc w:val="center"/>
              <w:rPr>
                <w:rFonts w:ascii="宋体" w:hAnsi="宋体"/>
                <w:color w:val="000000"/>
                <w:szCs w:val="21"/>
              </w:rPr>
            </w:pPr>
            <w:r>
              <w:rPr>
                <w:rFonts w:hint="eastAsia" w:ascii="宋体" w:hAnsi="宋体"/>
                <w:color w:val="000000"/>
                <w:szCs w:val="21"/>
              </w:rPr>
              <w:t>炉内温升(仅限匀质材料)</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rFonts w:ascii="宋体" w:hAnsi="宋体"/>
                <w:color w:val="000000"/>
                <w:szCs w:val="21"/>
              </w:rPr>
            </w:pPr>
            <w:r>
              <w:rPr>
                <w:rFonts w:hint="eastAsia"/>
                <w:spacing w:val="-6"/>
                <w:szCs w:val="21"/>
              </w:rPr>
              <w:t>GB/T 5464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ascii="宋体" w:hAnsi="宋体"/>
              </w:rPr>
              <w:t>质量损失率</w:t>
            </w:r>
            <w:r>
              <w:rPr>
                <w:rFonts w:hint="eastAsia" w:ascii="宋体" w:hAnsi="宋体"/>
                <w:color w:val="000000"/>
                <w:szCs w:val="21"/>
              </w:rPr>
              <w:t>(仅限匀质材料)</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spacing w:val="-6"/>
                <w:szCs w:val="21"/>
              </w:rPr>
            </w:pPr>
            <w:r>
              <w:rPr>
                <w:rFonts w:hint="eastAsia"/>
                <w:spacing w:val="-6"/>
                <w:szCs w:val="21"/>
              </w:rPr>
              <w:t>GB/T 5464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ascii="宋体" w:hAnsi="宋体"/>
                <w:color w:val="000000"/>
                <w:szCs w:val="21"/>
              </w:rPr>
              <w:t>持续燃烧时间(仅限匀质材料)</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spacing w:val="-6"/>
                <w:szCs w:val="21"/>
              </w:rPr>
            </w:pPr>
            <w:r>
              <w:rPr>
                <w:rFonts w:hint="eastAsia"/>
                <w:spacing w:val="-6"/>
                <w:szCs w:val="21"/>
              </w:rPr>
              <w:t>GB/T 5464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ascii="宋体" w:hAnsi="宋体"/>
                <w:color w:val="000000"/>
                <w:szCs w:val="21"/>
              </w:rPr>
              <w:t>总热值(仅限匀质材料)</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spacing w:val="-6"/>
                <w:szCs w:val="21"/>
              </w:rPr>
            </w:pPr>
            <w:r>
              <w:rPr>
                <w:rFonts w:hint="eastAsia"/>
                <w:spacing w:val="-6"/>
                <w:szCs w:val="21"/>
              </w:rPr>
              <w:t>GB/T 14402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rFonts w:ascii="宋体" w:hAnsi="宋体"/>
                <w:color w:val="000000"/>
                <w:szCs w:val="21"/>
              </w:rPr>
            </w:pPr>
          </w:p>
        </w:tc>
        <w:tc>
          <w:tcPr>
            <w:tcW w:w="1163" w:type="dxa"/>
            <w:vMerge w:val="continue"/>
            <w:vAlign w:val="center"/>
          </w:tcPr>
          <w:p>
            <w:pPr>
              <w:spacing w:line="320" w:lineRule="exact"/>
              <w:jc w:val="center"/>
              <w:rPr>
                <w:szCs w:val="21"/>
              </w:rPr>
            </w:pPr>
          </w:p>
        </w:tc>
        <w:tc>
          <w:tcPr>
            <w:tcW w:w="448" w:type="dxa"/>
            <w:vMerge w:val="restart"/>
            <w:vAlign w:val="center"/>
          </w:tcPr>
          <w:p>
            <w:pPr>
              <w:spacing w:line="320" w:lineRule="exact"/>
              <w:jc w:val="center"/>
              <w:rPr>
                <w:rFonts w:hint="eastAsia"/>
                <w:szCs w:val="21"/>
              </w:rPr>
            </w:pPr>
          </w:p>
          <w:p>
            <w:pPr>
              <w:spacing w:line="320" w:lineRule="exact"/>
              <w:jc w:val="center"/>
              <w:rPr>
                <w:rFonts w:hint="eastAsia"/>
                <w:szCs w:val="21"/>
              </w:rPr>
            </w:pPr>
          </w:p>
          <w:p>
            <w:pPr>
              <w:spacing w:line="320" w:lineRule="exact"/>
              <w:jc w:val="center"/>
              <w:rPr>
                <w:rFonts w:hint="eastAsia"/>
                <w:szCs w:val="21"/>
              </w:rPr>
            </w:pPr>
          </w:p>
          <w:p>
            <w:pPr>
              <w:spacing w:line="320" w:lineRule="exact"/>
              <w:jc w:val="center"/>
              <w:rPr>
                <w:rFonts w:hint="eastAsia"/>
                <w:szCs w:val="21"/>
              </w:rPr>
            </w:pPr>
          </w:p>
          <w:p>
            <w:pPr>
              <w:spacing w:line="320" w:lineRule="exact"/>
              <w:jc w:val="center"/>
              <w:rPr>
                <w:szCs w:val="21"/>
              </w:rPr>
            </w:pPr>
            <w:r>
              <w:rPr>
                <w:rFonts w:hint="eastAsia"/>
                <w:szCs w:val="21"/>
              </w:rPr>
              <w:t>A2级</w:t>
            </w:r>
          </w:p>
        </w:tc>
        <w:tc>
          <w:tcPr>
            <w:tcW w:w="3065" w:type="dxa"/>
            <w:vAlign w:val="center"/>
          </w:tcPr>
          <w:p>
            <w:pPr>
              <w:spacing w:line="320" w:lineRule="exact"/>
              <w:jc w:val="center"/>
              <w:rPr>
                <w:rFonts w:ascii="宋体" w:hAnsi="宋体"/>
                <w:color w:val="000000"/>
                <w:szCs w:val="21"/>
              </w:rPr>
            </w:pPr>
            <w:r>
              <w:rPr>
                <w:rFonts w:hint="eastAsia" w:ascii="宋体" w:hAnsi="宋体"/>
                <w:color w:val="000000"/>
                <w:szCs w:val="21"/>
              </w:rPr>
              <w:t>炉内温升(仅限匀质材料)</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rFonts w:ascii="宋体" w:hAnsi="宋体"/>
                <w:color w:val="000000"/>
                <w:szCs w:val="21"/>
              </w:rPr>
            </w:pPr>
            <w:r>
              <w:rPr>
                <w:rFonts w:hint="eastAsia"/>
                <w:spacing w:val="-6"/>
                <w:szCs w:val="21"/>
              </w:rPr>
              <w:t>GB/T 5464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rFonts w:ascii="宋体" w:hAnsi="宋体"/>
                <w:color w:val="000000"/>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ascii="宋体" w:hAnsi="宋体"/>
              </w:rPr>
              <w:t>质量损失率</w:t>
            </w:r>
            <w:r>
              <w:rPr>
                <w:rFonts w:hint="eastAsia" w:ascii="宋体" w:hAnsi="宋体"/>
                <w:color w:val="000000"/>
                <w:szCs w:val="21"/>
              </w:rPr>
              <w:t>(仅限匀质材料)</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spacing w:val="-6"/>
                <w:szCs w:val="21"/>
              </w:rPr>
            </w:pPr>
            <w:r>
              <w:rPr>
                <w:rFonts w:hint="eastAsia"/>
                <w:spacing w:val="-6"/>
                <w:szCs w:val="21"/>
              </w:rPr>
              <w:t>GB/T 5464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rFonts w:ascii="宋体" w:hAnsi="宋体"/>
                <w:color w:val="000000"/>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ascii="宋体" w:hAnsi="宋体"/>
                <w:color w:val="000000"/>
                <w:szCs w:val="21"/>
              </w:rPr>
              <w:t>持续燃烧时间(仅限匀质材料)</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spacing w:val="-6"/>
                <w:szCs w:val="21"/>
              </w:rPr>
            </w:pPr>
            <w:r>
              <w:rPr>
                <w:rFonts w:hint="eastAsia"/>
                <w:spacing w:val="-6"/>
                <w:szCs w:val="21"/>
              </w:rPr>
              <w:t>GB/T 5464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rFonts w:ascii="宋体" w:hAnsi="宋体"/>
                <w:color w:val="000000"/>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ascii="宋体" w:hAnsi="宋体"/>
                <w:color w:val="000000"/>
                <w:szCs w:val="21"/>
              </w:rPr>
              <w:t>总热值</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rFonts w:ascii="宋体" w:hAnsi="宋体"/>
                <w:color w:val="000000"/>
                <w:szCs w:val="21"/>
              </w:rPr>
            </w:pPr>
            <w:r>
              <w:rPr>
                <w:rFonts w:hint="eastAsia"/>
                <w:spacing w:val="-6"/>
                <w:szCs w:val="21"/>
              </w:rPr>
              <w:t>GB/T 14402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szCs w:val="21"/>
              </w:rPr>
              <w:t>燃烧增长速率指数</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spacing w:val="-6"/>
                <w:szCs w:val="21"/>
              </w:rPr>
            </w:pPr>
            <w:r>
              <w:rPr>
                <w:rFonts w:hint="eastAsia"/>
                <w:spacing w:val="-6"/>
                <w:szCs w:val="21"/>
              </w:rPr>
              <w:t>GB/T20284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szCs w:val="21"/>
              </w:rPr>
              <w:t>火焰横向蔓延</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spacing w:val="-6"/>
                <w:szCs w:val="21"/>
              </w:rPr>
            </w:pPr>
            <w:r>
              <w:rPr>
                <w:rFonts w:hint="eastAsia"/>
                <w:spacing w:val="-6"/>
                <w:szCs w:val="21"/>
              </w:rPr>
              <w:t>GB/T20284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dxa"/>
            <w:vMerge w:val="continue"/>
            <w:vAlign w:val="center"/>
          </w:tcPr>
          <w:p>
            <w:pPr>
              <w:spacing w:line="320" w:lineRule="exact"/>
              <w:jc w:val="center"/>
              <w:rPr>
                <w:szCs w:val="21"/>
              </w:rPr>
            </w:pPr>
          </w:p>
        </w:tc>
        <w:tc>
          <w:tcPr>
            <w:tcW w:w="1163" w:type="dxa"/>
            <w:vMerge w:val="continue"/>
            <w:vAlign w:val="center"/>
          </w:tcPr>
          <w:p>
            <w:pPr>
              <w:spacing w:line="320" w:lineRule="exact"/>
              <w:jc w:val="center"/>
              <w:rPr>
                <w:szCs w:val="21"/>
              </w:rPr>
            </w:pPr>
          </w:p>
        </w:tc>
        <w:tc>
          <w:tcPr>
            <w:tcW w:w="448" w:type="dxa"/>
            <w:vMerge w:val="continue"/>
            <w:vAlign w:val="center"/>
          </w:tcPr>
          <w:p>
            <w:pPr>
              <w:spacing w:line="320" w:lineRule="exact"/>
              <w:jc w:val="center"/>
              <w:rPr>
                <w:szCs w:val="21"/>
              </w:rPr>
            </w:pPr>
          </w:p>
        </w:tc>
        <w:tc>
          <w:tcPr>
            <w:tcW w:w="3065" w:type="dxa"/>
            <w:vAlign w:val="center"/>
          </w:tcPr>
          <w:p>
            <w:pPr>
              <w:spacing w:line="320" w:lineRule="exact"/>
              <w:jc w:val="center"/>
              <w:rPr>
                <w:rFonts w:ascii="宋体" w:hAnsi="宋体"/>
                <w:color w:val="000000"/>
                <w:szCs w:val="21"/>
              </w:rPr>
            </w:pPr>
            <w:r>
              <w:rPr>
                <w:rFonts w:hint="eastAsia"/>
                <w:szCs w:val="21"/>
              </w:rPr>
              <w:t>600s的总放热量</w:t>
            </w:r>
          </w:p>
        </w:tc>
        <w:tc>
          <w:tcPr>
            <w:tcW w:w="2378" w:type="dxa"/>
            <w:vAlign w:val="center"/>
          </w:tcPr>
          <w:p>
            <w:pPr>
              <w:snapToGrid w:val="0"/>
              <w:jc w:val="center"/>
              <w:rPr>
                <w:rFonts w:hint="eastAsia"/>
                <w:spacing w:val="-6"/>
                <w:szCs w:val="21"/>
              </w:rPr>
            </w:pPr>
            <w:r>
              <w:rPr>
                <w:rFonts w:hint="eastAsia"/>
                <w:spacing w:val="-6"/>
                <w:szCs w:val="21"/>
              </w:rPr>
              <w:t>GB8624-2012</w:t>
            </w:r>
            <w:r>
              <w:rPr>
                <w:rFonts w:hint="eastAsia"/>
                <w:spacing w:val="-6"/>
                <w:szCs w:val="21"/>
                <w:lang w:val="en-US" w:eastAsia="zh-CN"/>
              </w:rPr>
              <w:t xml:space="preserve"> </w:t>
            </w:r>
          </w:p>
        </w:tc>
        <w:tc>
          <w:tcPr>
            <w:tcW w:w="2378" w:type="dxa"/>
            <w:vAlign w:val="center"/>
          </w:tcPr>
          <w:p>
            <w:pPr>
              <w:snapToGrid w:val="0"/>
              <w:jc w:val="center"/>
              <w:rPr>
                <w:spacing w:val="-6"/>
                <w:szCs w:val="21"/>
              </w:rPr>
            </w:pPr>
            <w:r>
              <w:rPr>
                <w:rFonts w:hint="eastAsia"/>
                <w:spacing w:val="-6"/>
                <w:szCs w:val="21"/>
              </w:rPr>
              <w:t>GB/T20284</w:t>
            </w:r>
          </w:p>
        </w:tc>
      </w:tr>
    </w:tbl>
    <w:p>
      <w:pPr>
        <w:jc w:val="center"/>
        <w:rPr>
          <w:szCs w:val="21"/>
        </w:rPr>
      </w:pPr>
    </w:p>
    <w:p>
      <w:pPr>
        <w:spacing w:line="360" w:lineRule="auto"/>
        <w:ind w:firstLine="420" w:firstLineChars="200"/>
        <w:rPr>
          <w:rFonts w:ascii="宋体" w:hAnsi="宋体"/>
          <w:color w:val="000000"/>
          <w:szCs w:val="21"/>
        </w:rPr>
      </w:pPr>
    </w:p>
    <w:p>
      <w:pPr>
        <w:spacing w:line="360" w:lineRule="auto"/>
        <w:rPr>
          <w:rFonts w:ascii="宋体" w:hAnsi="宋体"/>
          <w:b/>
          <w:color w:val="000000"/>
          <w:szCs w:val="21"/>
        </w:rPr>
      </w:pPr>
      <w:r>
        <w:rPr>
          <w:rFonts w:hint="eastAsia" w:ascii="宋体" w:hAnsi="宋体"/>
          <w:b/>
          <w:color w:val="000000"/>
          <w:szCs w:val="21"/>
        </w:rPr>
        <w:t>3  判定规则</w:t>
      </w:r>
    </w:p>
    <w:p>
      <w:pPr>
        <w:adjustRightInd w:val="0"/>
        <w:snapToGrid w:val="0"/>
        <w:spacing w:line="440" w:lineRule="exact"/>
        <w:rPr>
          <w:rFonts w:hint="eastAsia" w:ascii="Times New Roman" w:hAnsi="Times New Roman" w:eastAsia="宋体" w:cs="Times New Roman"/>
          <w:szCs w:val="21"/>
        </w:rPr>
      </w:pPr>
      <w:r>
        <w:rPr>
          <w:rFonts w:hint="eastAsia" w:ascii="Times New Roman" w:hAnsi="Times New Roman" w:eastAsia="宋体" w:cs="Times New Roman"/>
          <w:szCs w:val="21"/>
        </w:rPr>
        <w:t>3.1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判定依据：GB</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8624-2012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《建筑材料及制品燃烧性能分级》</w:t>
      </w:r>
    </w:p>
    <w:p>
      <w:pPr>
        <w:adjustRightInd w:val="0"/>
        <w:snapToGrid w:val="0"/>
        <w:spacing w:line="440" w:lineRule="exact"/>
        <w:rPr>
          <w:rFonts w:hint="eastAsia" w:ascii="Times New Roman" w:hAnsi="Times New Roman" w:eastAsia="宋体" w:cs="Times New Roman"/>
          <w:szCs w:val="21"/>
        </w:rPr>
      </w:pPr>
      <w:r>
        <w:rPr>
          <w:rFonts w:hint="eastAsia" w:ascii="Times New Roman" w:hAnsi="Times New Roman" w:eastAsia="宋体" w:cs="Times New Roman"/>
          <w:szCs w:val="21"/>
        </w:rPr>
        <w:t>3.2 判定规则：经检验，检验项目全部合格，判定为被抽查产品所检项目未发现不合格；检验项目中任一项或一项以上不合格，判定为被抽查产品不合格。</w:t>
      </w:r>
    </w:p>
    <w:p>
      <w:pPr>
        <w:adjustRightInd w:val="0"/>
        <w:snapToGrid w:val="0"/>
        <w:spacing w:line="440" w:lineRule="exact"/>
        <w:rPr>
          <w:rFonts w:hint="eastAsia" w:ascii="Times New Roman" w:hAnsi="Times New Roman" w:eastAsia="宋体" w:cs="Times New Roman"/>
          <w:szCs w:val="21"/>
        </w:rPr>
      </w:pPr>
      <w:bookmarkStart w:id="1" w:name="_GoBack"/>
      <w:bookmarkEnd w:id="1"/>
      <w:r>
        <w:rPr>
          <w:rFonts w:hint="eastAsia" w:ascii="Times New Roman" w:hAnsi="Times New Roman" w:eastAsia="宋体" w:cs="Times New Roman"/>
          <w:szCs w:val="21"/>
        </w:rPr>
        <w:t>3.3 检验应注意的问题</w:t>
      </w:r>
    </w:p>
    <w:p>
      <w:pPr>
        <w:adjustRightInd w:val="0"/>
        <w:snapToGrid w:val="0"/>
        <w:spacing w:line="44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若被检产品明示的质量要求高于本细则中检验项目依据的标准要求时，应按被检产品明示的质量要求判定。</w:t>
      </w:r>
    </w:p>
    <w:p>
      <w:pPr>
        <w:adjustRightInd w:val="0"/>
        <w:snapToGrid w:val="0"/>
        <w:spacing w:line="44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若被检产品明示的质量要求低于本细则中检验项目依据的强制性标准要求时，应按照强制性标准要求判定。</w:t>
      </w:r>
    </w:p>
    <w:p>
      <w:pPr>
        <w:adjustRightInd w:val="0"/>
        <w:snapToGrid w:val="0"/>
        <w:spacing w:line="44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若被检产品明示的质量要求低于或包含本细则中检验项目依据的推荐性标准要求时，应以被检产品明示的质量要求判定。</w:t>
      </w:r>
    </w:p>
    <w:p>
      <w:pPr>
        <w:adjustRightInd w:val="0"/>
        <w:snapToGrid w:val="0"/>
        <w:spacing w:line="44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若被检产品明示的质量要求缺少本细则中检验项目依据的强制性标准要求时，应按照强制性标准要求判定。</w:t>
      </w:r>
    </w:p>
    <w:p>
      <w:pPr>
        <w:adjustRightInd w:val="0"/>
        <w:snapToGrid w:val="0"/>
        <w:spacing w:line="44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若被检产品明示的质量要求缺少本细则中检验项目依据的推荐性标准要求时，该项目不参与判定。</w:t>
      </w:r>
    </w:p>
    <w:p>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性能试验过程中若由于产品本身的质量问题导致样品失效，则试验终止，样品按不合格判定。</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UyOTlhMjdiZWQwNDk5ODhjMmQxNjA0M2ViNDE5NWUifQ=="/>
  </w:docVars>
  <w:rsids>
    <w:rsidRoot w:val="2B392AC1"/>
    <w:rsid w:val="00065CB6"/>
    <w:rsid w:val="000A4581"/>
    <w:rsid w:val="00137808"/>
    <w:rsid w:val="00161590"/>
    <w:rsid w:val="002241A2"/>
    <w:rsid w:val="00262A8A"/>
    <w:rsid w:val="002B4C9D"/>
    <w:rsid w:val="002B5217"/>
    <w:rsid w:val="002F00D6"/>
    <w:rsid w:val="004A38C7"/>
    <w:rsid w:val="004A66F2"/>
    <w:rsid w:val="004B5424"/>
    <w:rsid w:val="00543520"/>
    <w:rsid w:val="006015D5"/>
    <w:rsid w:val="0075627C"/>
    <w:rsid w:val="007C2AA7"/>
    <w:rsid w:val="007D09DD"/>
    <w:rsid w:val="008D1AD9"/>
    <w:rsid w:val="008E4340"/>
    <w:rsid w:val="009C49CA"/>
    <w:rsid w:val="009C565A"/>
    <w:rsid w:val="009D46AD"/>
    <w:rsid w:val="00AB442F"/>
    <w:rsid w:val="00B203E4"/>
    <w:rsid w:val="00B72A4B"/>
    <w:rsid w:val="00B854FE"/>
    <w:rsid w:val="00BF0B33"/>
    <w:rsid w:val="00C00881"/>
    <w:rsid w:val="00C73333"/>
    <w:rsid w:val="00C75B8E"/>
    <w:rsid w:val="00CC696D"/>
    <w:rsid w:val="00D61520"/>
    <w:rsid w:val="00E40A9B"/>
    <w:rsid w:val="00EA2439"/>
    <w:rsid w:val="00FF601A"/>
    <w:rsid w:val="02824DAA"/>
    <w:rsid w:val="037B11A5"/>
    <w:rsid w:val="0382304C"/>
    <w:rsid w:val="052F2202"/>
    <w:rsid w:val="07DE66C6"/>
    <w:rsid w:val="084B17F3"/>
    <w:rsid w:val="0A055B0E"/>
    <w:rsid w:val="0A9B703A"/>
    <w:rsid w:val="0C845ABC"/>
    <w:rsid w:val="0F7F190A"/>
    <w:rsid w:val="101177D7"/>
    <w:rsid w:val="110A558A"/>
    <w:rsid w:val="13AC0036"/>
    <w:rsid w:val="1422595B"/>
    <w:rsid w:val="15D9353E"/>
    <w:rsid w:val="17780FCB"/>
    <w:rsid w:val="1ADD6614"/>
    <w:rsid w:val="1CFF53AD"/>
    <w:rsid w:val="1ED53080"/>
    <w:rsid w:val="204072F7"/>
    <w:rsid w:val="206E372E"/>
    <w:rsid w:val="211876BE"/>
    <w:rsid w:val="226F41FD"/>
    <w:rsid w:val="229E12B3"/>
    <w:rsid w:val="23661897"/>
    <w:rsid w:val="23F307D7"/>
    <w:rsid w:val="2452624E"/>
    <w:rsid w:val="24856EE7"/>
    <w:rsid w:val="25172B44"/>
    <w:rsid w:val="282955B0"/>
    <w:rsid w:val="28CF15C1"/>
    <w:rsid w:val="29257FEA"/>
    <w:rsid w:val="2AA36C01"/>
    <w:rsid w:val="2B392AC1"/>
    <w:rsid w:val="2B7C46DD"/>
    <w:rsid w:val="2E0A6CE1"/>
    <w:rsid w:val="30B27318"/>
    <w:rsid w:val="310764A0"/>
    <w:rsid w:val="36330E2C"/>
    <w:rsid w:val="3CE82AC4"/>
    <w:rsid w:val="3DF90617"/>
    <w:rsid w:val="40B20BD4"/>
    <w:rsid w:val="41D11E00"/>
    <w:rsid w:val="447A550E"/>
    <w:rsid w:val="46343B3C"/>
    <w:rsid w:val="466C7070"/>
    <w:rsid w:val="4A2228F5"/>
    <w:rsid w:val="4A2C4524"/>
    <w:rsid w:val="4A56666F"/>
    <w:rsid w:val="4B973355"/>
    <w:rsid w:val="4C3E1074"/>
    <w:rsid w:val="4CED10B5"/>
    <w:rsid w:val="4DEC292A"/>
    <w:rsid w:val="5133790E"/>
    <w:rsid w:val="520E1E44"/>
    <w:rsid w:val="522E144F"/>
    <w:rsid w:val="55570D36"/>
    <w:rsid w:val="572D4B0F"/>
    <w:rsid w:val="5C853F03"/>
    <w:rsid w:val="5E845BED"/>
    <w:rsid w:val="5F89489B"/>
    <w:rsid w:val="5FE74809"/>
    <w:rsid w:val="665B43BE"/>
    <w:rsid w:val="6B4B1380"/>
    <w:rsid w:val="6D0661B1"/>
    <w:rsid w:val="6D272F86"/>
    <w:rsid w:val="6D2A399E"/>
    <w:rsid w:val="6D522945"/>
    <w:rsid w:val="6DF0A0A3"/>
    <w:rsid w:val="6DF720EE"/>
    <w:rsid w:val="6E6D7E3D"/>
    <w:rsid w:val="70EB1EB8"/>
    <w:rsid w:val="71CC0049"/>
    <w:rsid w:val="71EC4510"/>
    <w:rsid w:val="72A47C2A"/>
    <w:rsid w:val="74EC4932"/>
    <w:rsid w:val="75484F28"/>
    <w:rsid w:val="772925F4"/>
    <w:rsid w:val="774F21C7"/>
    <w:rsid w:val="77C573EA"/>
    <w:rsid w:val="77E7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line="360" w:lineRule="atLeast"/>
      <w:jc w:val="left"/>
    </w:pPr>
    <w:rPr>
      <w:rFonts w:ascii="宋体" w:hAnsi="宋体"/>
      <w:kern w:val="0"/>
      <w:szCs w:val="21"/>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封面标准文稿编辑信息"/>
    <w:autoRedefine/>
    <w:qFormat/>
    <w:uiPriority w:val="0"/>
    <w:pPr>
      <w:spacing w:line="180" w:lineRule="exact"/>
      <w:jc w:val="center"/>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1112</Words>
  <Characters>1458</Characters>
  <Lines>18</Lines>
  <Paragraphs>5</Paragraphs>
  <TotalTime>4</TotalTime>
  <ScaleCrop>false</ScaleCrop>
  <LinksUpToDate>false</LinksUpToDate>
  <CharactersWithSpaces>1511</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2016-04-15T10:22:00Z</dcterms:created>
  <dc:creator>Administrator</dc:creator>
  <cp:lastModifiedBy>greatwall</cp:lastModifiedBy>
  <cp:lastPrinted>2018-06-14T16:21:00Z</cp:lastPrinted>
  <dcterms:modified xsi:type="dcterms:W3CDTF">2025-11-20T15:56:37Z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7BD98116845641DC9159E19570D857A3</vt:lpwstr>
  </property>
  <property fmtid="{D5CDD505-2E9C-101B-9397-08002B2CF9AE}" pid="4" name="KSOTemplateDocerSaveRecord">
    <vt:lpwstr>eyJoZGlkIjoiMzUyOTlhMjdiZWQwNDk5ODhjMmQxNjA0M2ViNDE5NWUiLCJ1c2VySWQiOiIxNzA5NTQ0MzUyIn0=</vt:lpwstr>
  </property>
</Properties>
</file>