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17B9">
      <w:pPr>
        <w:tabs>
          <w:tab w:val="left" w:pos="3201"/>
        </w:tabs>
        <w:jc w:val="center"/>
        <w:rPr>
          <w:rFonts w:hint="default" w:ascii="黑体" w:hAnsi="黑体" w:eastAsia="黑体" w:cs="黑体"/>
          <w:b/>
          <w:color w:val="000000"/>
          <w:sz w:val="32"/>
          <w:szCs w:val="32"/>
          <w:lang w:val="en-US" w:eastAsia="zh-CN"/>
        </w:rPr>
      </w:pPr>
      <w:r>
        <w:rPr>
          <w:rFonts w:hint="eastAsia" w:ascii="黑体" w:hAnsi="黑体" w:eastAsia="黑体" w:cs="黑体"/>
          <w:b/>
          <w:color w:val="000000"/>
          <w:sz w:val="32"/>
          <w:szCs w:val="32"/>
          <w:lang w:eastAsia="zh-CN"/>
        </w:rPr>
        <w:t>黄石市</w:t>
      </w:r>
      <w:r>
        <w:rPr>
          <w:rFonts w:hint="eastAsia" w:ascii="黑体" w:hAnsi="黑体" w:eastAsia="黑体" w:cs="黑体"/>
          <w:b/>
          <w:color w:val="000000"/>
          <w:sz w:val="32"/>
          <w:szCs w:val="32"/>
          <w:lang w:val="en-US" w:eastAsia="zh-CN"/>
        </w:rPr>
        <w:t>灭火毯</w:t>
      </w:r>
      <w:r>
        <w:rPr>
          <w:rFonts w:hint="eastAsia" w:ascii="黑体" w:hAnsi="黑体" w:eastAsia="黑体" w:cs="黑体"/>
          <w:b/>
          <w:color w:val="000000"/>
          <w:sz w:val="32"/>
          <w:szCs w:val="32"/>
        </w:rPr>
        <w:t>产品质量监督抽查实施细则</w:t>
      </w:r>
      <w:r>
        <w:rPr>
          <w:rFonts w:hint="eastAsia" w:ascii="黑体" w:hAnsi="黑体" w:eastAsia="黑体" w:cs="黑体"/>
          <w:b/>
          <w:color w:val="000000"/>
          <w:sz w:val="32"/>
          <w:szCs w:val="32"/>
          <w:lang w:val="en-US" w:eastAsia="zh-CN"/>
        </w:rPr>
        <w:t>(2025年版</w:t>
      </w:r>
      <w:bookmarkStart w:id="0" w:name="_GoBack"/>
      <w:bookmarkEnd w:id="0"/>
      <w:r>
        <w:rPr>
          <w:rFonts w:hint="eastAsia" w:ascii="黑体" w:hAnsi="黑体" w:eastAsia="黑体" w:cs="黑体"/>
          <w:b/>
          <w:color w:val="000000"/>
          <w:sz w:val="32"/>
          <w:szCs w:val="32"/>
          <w:lang w:val="en-US" w:eastAsia="zh-CN"/>
        </w:rPr>
        <w:t>)</w:t>
      </w:r>
    </w:p>
    <w:p w14:paraId="727C0432">
      <w:pPr>
        <w:tabs>
          <w:tab w:val="left" w:pos="3201"/>
        </w:tabs>
        <w:jc w:val="center"/>
        <w:rPr>
          <w:rFonts w:hint="eastAsia" w:ascii="黑体" w:hAnsi="黑体" w:eastAsia="黑体" w:cs="黑体"/>
          <w:b/>
          <w:color w:val="000000"/>
          <w:sz w:val="32"/>
          <w:szCs w:val="32"/>
        </w:rPr>
      </w:pPr>
    </w:p>
    <w:p w14:paraId="3A403955">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1   抽样方法</w:t>
      </w:r>
    </w:p>
    <w:p w14:paraId="09EF7A37">
      <w:pPr>
        <w:spacing w:line="360" w:lineRule="auto"/>
        <w:rPr>
          <w:rFonts w:hint="eastAsia" w:ascii="宋体" w:hAnsi="宋体"/>
          <w:color w:val="000000"/>
          <w:szCs w:val="21"/>
          <w:lang w:eastAsia="zh-CN"/>
        </w:rPr>
      </w:pPr>
      <w:r>
        <w:rPr>
          <w:rFonts w:hint="eastAsia" w:ascii="宋体" w:hAnsi="宋体"/>
          <w:color w:val="000000"/>
          <w:szCs w:val="21"/>
          <w:lang w:val="en-US" w:eastAsia="zh-CN"/>
        </w:rPr>
        <w:t xml:space="preserve">1.1 </w:t>
      </w:r>
      <w:r>
        <w:rPr>
          <w:rFonts w:hint="eastAsia" w:ascii="宋体" w:hAnsi="宋体"/>
          <w:color w:val="000000"/>
          <w:szCs w:val="21"/>
          <w:lang w:eastAsia="zh-CN"/>
        </w:rPr>
        <w:t>以随机抽样的方式在被抽样生产者、销售者的待销产品中抽取。</w:t>
      </w:r>
    </w:p>
    <w:p w14:paraId="16BE03C7">
      <w:pPr>
        <w:spacing w:line="360" w:lineRule="auto"/>
        <w:rPr>
          <w:rFonts w:hint="eastAsia" w:ascii="宋体" w:hAnsi="宋体"/>
          <w:color w:val="000000"/>
          <w:szCs w:val="21"/>
          <w:lang w:eastAsia="zh-CN"/>
        </w:rPr>
      </w:pPr>
      <w:r>
        <w:rPr>
          <w:rFonts w:hint="eastAsia" w:ascii="宋体" w:hAnsi="宋体"/>
          <w:color w:val="000000"/>
          <w:szCs w:val="21"/>
          <w:lang w:eastAsia="zh-CN"/>
        </w:rPr>
        <w:t>随机数一般可使用随机数表等方式产生。</w:t>
      </w:r>
    </w:p>
    <w:p w14:paraId="5554EBA1">
      <w:pPr>
        <w:spacing w:line="360" w:lineRule="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 每批次产品抽样数量见表A。</w:t>
      </w:r>
    </w:p>
    <w:p w14:paraId="4FE0B869">
      <w:pPr>
        <w:spacing w:line="360" w:lineRule="auto"/>
        <w:jc w:val="center"/>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表A  产品抽样表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97"/>
        <w:gridCol w:w="1704"/>
        <w:gridCol w:w="1705"/>
        <w:gridCol w:w="1705"/>
      </w:tblGrid>
      <w:tr w14:paraId="0681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A1CB729">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序号</w:t>
            </w:r>
          </w:p>
        </w:tc>
        <w:tc>
          <w:tcPr>
            <w:tcW w:w="2697" w:type="dxa"/>
            <w:noWrap w:val="0"/>
            <w:vAlign w:val="top"/>
          </w:tcPr>
          <w:p w14:paraId="2E4D0123">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产品名称</w:t>
            </w:r>
          </w:p>
        </w:tc>
        <w:tc>
          <w:tcPr>
            <w:tcW w:w="1704" w:type="dxa"/>
            <w:noWrap w:val="0"/>
            <w:vAlign w:val="top"/>
          </w:tcPr>
          <w:p w14:paraId="62C2054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抽样数量</w:t>
            </w:r>
          </w:p>
        </w:tc>
        <w:tc>
          <w:tcPr>
            <w:tcW w:w="1705" w:type="dxa"/>
            <w:noWrap w:val="0"/>
            <w:vAlign w:val="top"/>
          </w:tcPr>
          <w:p w14:paraId="589D8E76">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检验样品数量</w:t>
            </w:r>
          </w:p>
        </w:tc>
        <w:tc>
          <w:tcPr>
            <w:tcW w:w="1705" w:type="dxa"/>
            <w:noWrap w:val="0"/>
            <w:vAlign w:val="top"/>
          </w:tcPr>
          <w:p w14:paraId="261B2BB4">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备用样品数量</w:t>
            </w:r>
          </w:p>
        </w:tc>
      </w:tr>
      <w:tr w14:paraId="5513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867F140">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w:t>
            </w:r>
          </w:p>
        </w:tc>
        <w:tc>
          <w:tcPr>
            <w:tcW w:w="2697" w:type="dxa"/>
            <w:noWrap w:val="0"/>
            <w:vAlign w:val="top"/>
          </w:tcPr>
          <w:p w14:paraId="2D94BE74">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灭火毯</w:t>
            </w:r>
          </w:p>
        </w:tc>
        <w:tc>
          <w:tcPr>
            <w:tcW w:w="1704" w:type="dxa"/>
            <w:noWrap w:val="0"/>
            <w:vAlign w:val="top"/>
          </w:tcPr>
          <w:p w14:paraId="36B589AE">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6个</w:t>
            </w:r>
          </w:p>
        </w:tc>
        <w:tc>
          <w:tcPr>
            <w:tcW w:w="1705" w:type="dxa"/>
            <w:noWrap w:val="0"/>
            <w:vAlign w:val="top"/>
          </w:tcPr>
          <w:p w14:paraId="4A5552F2">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3个为一份</w:t>
            </w:r>
          </w:p>
        </w:tc>
        <w:tc>
          <w:tcPr>
            <w:tcW w:w="1705" w:type="dxa"/>
            <w:noWrap w:val="0"/>
            <w:vAlign w:val="top"/>
          </w:tcPr>
          <w:p w14:paraId="2FCCF72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3个为一份</w:t>
            </w:r>
          </w:p>
        </w:tc>
      </w:tr>
    </w:tbl>
    <w:p w14:paraId="55AAE544">
      <w:pPr>
        <w:spacing w:line="360" w:lineRule="auto"/>
        <w:rPr>
          <w:rFonts w:hint="default" w:ascii="宋体" w:hAnsi="宋体" w:eastAsia="宋体" w:cs="Times New Roman"/>
          <w:color w:val="000000"/>
          <w:szCs w:val="21"/>
          <w:lang w:val="en-US" w:eastAsia="zh-CN"/>
        </w:rPr>
      </w:pPr>
    </w:p>
    <w:p w14:paraId="3AE38432">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2    检验依据</w:t>
      </w:r>
    </w:p>
    <w:p w14:paraId="138A03F8">
      <w:pPr>
        <w:spacing w:line="360" w:lineRule="auto"/>
        <w:ind w:firstLine="420" w:firstLineChars="200"/>
        <w:rPr>
          <w:rFonts w:hint="eastAsia" w:ascii="宋体" w:hAnsi="宋体"/>
          <w:color w:val="000000"/>
          <w:szCs w:val="21"/>
        </w:rPr>
      </w:pPr>
    </w:p>
    <w:p w14:paraId="584D5C3D">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1</w:t>
      </w:r>
      <w:r>
        <w:rPr>
          <w:rFonts w:hint="eastAsia" w:ascii="宋体" w:hAnsi="宋体"/>
          <w:b/>
          <w:bCs/>
          <w:color w:val="000000"/>
          <w:szCs w:val="21"/>
        </w:rPr>
        <w:t xml:space="preserve">  </w:t>
      </w:r>
      <w:r>
        <w:rPr>
          <w:rFonts w:hint="eastAsia" w:ascii="宋体" w:hAnsi="宋体"/>
          <w:b/>
          <w:bCs/>
          <w:color w:val="000000"/>
          <w:szCs w:val="21"/>
          <w:lang w:eastAsia="zh-CN"/>
        </w:rPr>
        <w:t>灭火毯检验项目</w:t>
      </w:r>
    </w:p>
    <w:tbl>
      <w:tblPr>
        <w:tblStyle w:val="7"/>
        <w:tblW w:w="7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2042"/>
      </w:tblGrid>
      <w:tr w14:paraId="4306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3F5FF4C8">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1758DED2">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7D124BBB">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2042" w:type="dxa"/>
            <w:vMerge w:val="restart"/>
            <w:noWrap w:val="0"/>
            <w:vAlign w:val="center"/>
          </w:tcPr>
          <w:p w14:paraId="20C33EED">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150B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3093A5A8">
            <w:pPr>
              <w:widowControl/>
              <w:jc w:val="left"/>
              <w:rPr>
                <w:rFonts w:ascii="宋体" w:hAnsi="宋体" w:cs="宋体"/>
                <w:b/>
                <w:color w:val="000000"/>
                <w:kern w:val="0"/>
                <w:szCs w:val="21"/>
              </w:rPr>
            </w:pPr>
          </w:p>
        </w:tc>
        <w:tc>
          <w:tcPr>
            <w:tcW w:w="1642" w:type="dxa"/>
            <w:vMerge w:val="continue"/>
            <w:noWrap w:val="0"/>
            <w:vAlign w:val="center"/>
          </w:tcPr>
          <w:p w14:paraId="4FBCCE96">
            <w:pPr>
              <w:widowControl/>
              <w:jc w:val="left"/>
              <w:rPr>
                <w:rFonts w:ascii="宋体" w:hAnsi="宋体" w:cs="宋体"/>
                <w:b/>
                <w:color w:val="000000"/>
                <w:kern w:val="0"/>
                <w:szCs w:val="21"/>
              </w:rPr>
            </w:pPr>
          </w:p>
        </w:tc>
        <w:tc>
          <w:tcPr>
            <w:tcW w:w="2541" w:type="dxa"/>
            <w:vMerge w:val="continue"/>
            <w:noWrap w:val="0"/>
            <w:vAlign w:val="center"/>
          </w:tcPr>
          <w:p w14:paraId="1C0D1671">
            <w:pPr>
              <w:widowControl/>
              <w:jc w:val="left"/>
              <w:rPr>
                <w:rFonts w:ascii="宋体" w:hAnsi="宋体" w:cs="宋体"/>
                <w:b/>
                <w:color w:val="000000"/>
                <w:kern w:val="0"/>
                <w:szCs w:val="21"/>
              </w:rPr>
            </w:pPr>
          </w:p>
        </w:tc>
        <w:tc>
          <w:tcPr>
            <w:tcW w:w="2042" w:type="dxa"/>
            <w:vMerge w:val="continue"/>
            <w:noWrap w:val="0"/>
            <w:vAlign w:val="center"/>
          </w:tcPr>
          <w:p w14:paraId="7E4D8B15">
            <w:pPr>
              <w:widowControl/>
              <w:jc w:val="left"/>
              <w:rPr>
                <w:rFonts w:ascii="宋体" w:hAnsi="宋体" w:cs="宋体"/>
                <w:b/>
                <w:color w:val="000000"/>
                <w:kern w:val="0"/>
                <w:szCs w:val="21"/>
              </w:rPr>
            </w:pPr>
          </w:p>
        </w:tc>
      </w:tr>
      <w:tr w14:paraId="32C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788A261A">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3FD504D7">
            <w:pPr>
              <w:snapToGrid w:val="0"/>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外观与结构</w:t>
            </w:r>
          </w:p>
        </w:tc>
        <w:tc>
          <w:tcPr>
            <w:tcW w:w="2541" w:type="dxa"/>
            <w:noWrap w:val="0"/>
            <w:vAlign w:val="center"/>
          </w:tcPr>
          <w:p w14:paraId="0B671B93">
            <w:pPr>
              <w:jc w:val="center"/>
              <w:rPr>
                <w:rFonts w:hint="default" w:eastAsia="宋体"/>
                <w:color w:val="000000"/>
                <w:szCs w:val="21"/>
                <w:lang w:val="en-US" w:eastAsia="zh-CN"/>
              </w:rPr>
            </w:pPr>
            <w:r>
              <w:rPr>
                <w:rFonts w:hint="eastAsia" w:ascii="宋体" w:hAnsi="宋体" w:eastAsia="宋体"/>
                <w:color w:val="000000"/>
                <w:szCs w:val="21"/>
                <w:lang w:val="en-US" w:eastAsia="zh-CN"/>
              </w:rPr>
              <w:t>XF 1205-2014</w:t>
            </w:r>
          </w:p>
        </w:tc>
        <w:tc>
          <w:tcPr>
            <w:tcW w:w="2042" w:type="dxa"/>
            <w:noWrap w:val="0"/>
            <w:vAlign w:val="center"/>
          </w:tcPr>
          <w:p w14:paraId="22899087">
            <w:pPr>
              <w:jc w:val="center"/>
              <w:rPr>
                <w:rFonts w:ascii="宋体" w:hAnsi="宋体"/>
                <w:color w:val="000000"/>
                <w:szCs w:val="21"/>
              </w:rPr>
            </w:pPr>
            <w:r>
              <w:rPr>
                <w:rFonts w:hint="eastAsia" w:ascii="宋体" w:hAnsi="宋体" w:eastAsia="宋体"/>
                <w:color w:val="000000"/>
                <w:szCs w:val="21"/>
                <w:lang w:val="en-US" w:eastAsia="zh-CN"/>
              </w:rPr>
              <w:t>XF 1205-2014</w:t>
            </w:r>
          </w:p>
        </w:tc>
      </w:tr>
      <w:tr w14:paraId="3C23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EB9E0CF">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24D9257F">
            <w:pPr>
              <w:snapToGrid w:val="0"/>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尺寸</w:t>
            </w:r>
          </w:p>
        </w:tc>
        <w:tc>
          <w:tcPr>
            <w:tcW w:w="2541" w:type="dxa"/>
            <w:noWrap w:val="0"/>
            <w:vAlign w:val="center"/>
          </w:tcPr>
          <w:p w14:paraId="416C4924">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c>
          <w:tcPr>
            <w:tcW w:w="2042" w:type="dxa"/>
            <w:noWrap w:val="0"/>
            <w:vAlign w:val="center"/>
          </w:tcPr>
          <w:p w14:paraId="711C0AB5">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r>
      <w:tr w14:paraId="2B4E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169DDEEC">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4848D5A4">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质量</w:t>
            </w:r>
          </w:p>
        </w:tc>
        <w:tc>
          <w:tcPr>
            <w:tcW w:w="2541" w:type="dxa"/>
            <w:noWrap w:val="0"/>
            <w:vAlign w:val="center"/>
          </w:tcPr>
          <w:p w14:paraId="2D142662">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c>
          <w:tcPr>
            <w:tcW w:w="2042" w:type="dxa"/>
            <w:noWrap w:val="0"/>
            <w:vAlign w:val="center"/>
          </w:tcPr>
          <w:p w14:paraId="342384A3">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r>
      <w:tr w14:paraId="2A1C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026E74FC">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1D5F2EF9">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材料性能</w:t>
            </w:r>
          </w:p>
        </w:tc>
        <w:tc>
          <w:tcPr>
            <w:tcW w:w="2541" w:type="dxa"/>
            <w:noWrap w:val="0"/>
            <w:vAlign w:val="center"/>
          </w:tcPr>
          <w:p w14:paraId="569A5DDE">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c>
          <w:tcPr>
            <w:tcW w:w="2042" w:type="dxa"/>
            <w:noWrap w:val="0"/>
            <w:vAlign w:val="center"/>
          </w:tcPr>
          <w:p w14:paraId="059AD604">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r>
      <w:tr w14:paraId="4548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1043DB75">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1642" w:type="dxa"/>
            <w:noWrap w:val="0"/>
            <w:vAlign w:val="center"/>
          </w:tcPr>
          <w:p w14:paraId="7A430D54">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操作性能</w:t>
            </w:r>
          </w:p>
        </w:tc>
        <w:tc>
          <w:tcPr>
            <w:tcW w:w="2541" w:type="dxa"/>
            <w:noWrap w:val="0"/>
            <w:vAlign w:val="center"/>
          </w:tcPr>
          <w:p w14:paraId="4B49A090">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c>
          <w:tcPr>
            <w:tcW w:w="2042" w:type="dxa"/>
            <w:noWrap w:val="0"/>
            <w:vAlign w:val="center"/>
          </w:tcPr>
          <w:p w14:paraId="42EF8118">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r>
      <w:tr w14:paraId="1417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E5DA413">
            <w:pPr>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1642" w:type="dxa"/>
            <w:noWrap w:val="0"/>
            <w:vAlign w:val="center"/>
          </w:tcPr>
          <w:p w14:paraId="4E87561F">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柔软性能</w:t>
            </w:r>
          </w:p>
        </w:tc>
        <w:tc>
          <w:tcPr>
            <w:tcW w:w="2541" w:type="dxa"/>
            <w:noWrap w:val="0"/>
            <w:vAlign w:val="center"/>
          </w:tcPr>
          <w:p w14:paraId="4C36241B">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c>
          <w:tcPr>
            <w:tcW w:w="2042" w:type="dxa"/>
            <w:noWrap w:val="0"/>
            <w:vAlign w:val="center"/>
          </w:tcPr>
          <w:p w14:paraId="56012803">
            <w:pPr>
              <w:jc w:val="center"/>
              <w:rPr>
                <w:rFonts w:hint="eastAsia" w:ascii="宋体" w:hAnsi="宋体"/>
                <w:color w:val="000000"/>
                <w:szCs w:val="21"/>
              </w:rPr>
            </w:pPr>
            <w:r>
              <w:rPr>
                <w:rFonts w:hint="eastAsia" w:ascii="宋体" w:hAnsi="宋体" w:eastAsia="宋体"/>
                <w:color w:val="000000"/>
                <w:szCs w:val="21"/>
                <w:lang w:val="en-US" w:eastAsia="zh-CN"/>
              </w:rPr>
              <w:t>XF 1205-2014</w:t>
            </w:r>
          </w:p>
        </w:tc>
      </w:tr>
      <w:tr w14:paraId="4C32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7382D276">
            <w:pPr>
              <w:snapToGrid w:val="0"/>
              <w:jc w:val="center"/>
              <w:rPr>
                <w:rFonts w:hint="default" w:ascii="宋体" w:hAnsi="宋体"/>
                <w:color w:val="000000"/>
                <w:szCs w:val="21"/>
                <w:lang w:val="en-US" w:eastAsia="zh-CN"/>
              </w:rPr>
            </w:pPr>
            <w:r>
              <w:rPr>
                <w:rFonts w:hint="eastAsia" w:ascii="宋体" w:hAnsi="宋体"/>
                <w:color w:val="000000"/>
                <w:szCs w:val="21"/>
                <w:lang w:val="en-US" w:eastAsia="zh-CN"/>
              </w:rPr>
              <w:t>7</w:t>
            </w:r>
          </w:p>
        </w:tc>
        <w:tc>
          <w:tcPr>
            <w:tcW w:w="1642" w:type="dxa"/>
            <w:noWrap w:val="0"/>
            <w:vAlign w:val="center"/>
          </w:tcPr>
          <w:p w14:paraId="0329D58C">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绝缘性能</w:t>
            </w:r>
          </w:p>
        </w:tc>
        <w:tc>
          <w:tcPr>
            <w:tcW w:w="2541" w:type="dxa"/>
            <w:noWrap w:val="0"/>
            <w:vAlign w:val="center"/>
          </w:tcPr>
          <w:p w14:paraId="73CCCFCB">
            <w:pPr>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XF 1205-2014</w:t>
            </w:r>
          </w:p>
        </w:tc>
        <w:tc>
          <w:tcPr>
            <w:tcW w:w="2042" w:type="dxa"/>
            <w:noWrap w:val="0"/>
            <w:vAlign w:val="center"/>
          </w:tcPr>
          <w:p w14:paraId="07929904">
            <w:pPr>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XF 1205-2014</w:t>
            </w:r>
          </w:p>
        </w:tc>
      </w:tr>
      <w:tr w14:paraId="3474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8033042">
            <w:pPr>
              <w:snapToGrid w:val="0"/>
              <w:jc w:val="center"/>
              <w:rPr>
                <w:rFonts w:hint="default" w:ascii="宋体" w:hAnsi="宋体"/>
                <w:color w:val="000000"/>
                <w:szCs w:val="21"/>
                <w:lang w:val="en-US" w:eastAsia="zh-CN"/>
              </w:rPr>
            </w:pPr>
            <w:r>
              <w:rPr>
                <w:rFonts w:hint="eastAsia" w:ascii="宋体" w:hAnsi="宋体"/>
                <w:color w:val="000000"/>
                <w:szCs w:val="21"/>
                <w:lang w:val="en-US" w:eastAsia="zh-CN"/>
              </w:rPr>
              <w:t>8</w:t>
            </w:r>
          </w:p>
        </w:tc>
        <w:tc>
          <w:tcPr>
            <w:tcW w:w="1642" w:type="dxa"/>
            <w:noWrap w:val="0"/>
            <w:vAlign w:val="center"/>
          </w:tcPr>
          <w:p w14:paraId="320A48E3">
            <w:pPr>
              <w:snapToGrid w:val="0"/>
              <w:jc w:val="center"/>
              <w:rPr>
                <w:rFonts w:hint="eastAsia" w:ascii="宋体" w:hAnsi="宋体" w:eastAsia="宋体"/>
                <w:color w:val="000000"/>
                <w:szCs w:val="21"/>
                <w:lang w:eastAsia="zh-CN"/>
              </w:rPr>
            </w:pPr>
            <w:r>
              <w:rPr>
                <w:rFonts w:hint="eastAsia" w:ascii="宋体" w:hAnsi="宋体" w:eastAsia="宋体"/>
                <w:color w:val="000000"/>
                <w:szCs w:val="21"/>
                <w:lang w:eastAsia="zh-CN"/>
              </w:rPr>
              <w:t>灭火性能</w:t>
            </w:r>
          </w:p>
        </w:tc>
        <w:tc>
          <w:tcPr>
            <w:tcW w:w="2541" w:type="dxa"/>
            <w:noWrap w:val="0"/>
            <w:vAlign w:val="center"/>
          </w:tcPr>
          <w:p w14:paraId="60CE14E9">
            <w:pPr>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XF 1205-2014</w:t>
            </w:r>
          </w:p>
        </w:tc>
        <w:tc>
          <w:tcPr>
            <w:tcW w:w="2042" w:type="dxa"/>
            <w:noWrap w:val="0"/>
            <w:vAlign w:val="center"/>
          </w:tcPr>
          <w:p w14:paraId="359DC1CC">
            <w:pPr>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XF 1205-2014</w:t>
            </w:r>
          </w:p>
        </w:tc>
      </w:tr>
    </w:tbl>
    <w:p w14:paraId="1F26DB3D">
      <w:pPr>
        <w:spacing w:line="360" w:lineRule="auto"/>
        <w:ind w:firstLine="420" w:firstLineChars="200"/>
        <w:rPr>
          <w:rFonts w:hint="eastAsia" w:ascii="宋体" w:hAnsi="宋体"/>
          <w:color w:val="000000"/>
          <w:szCs w:val="21"/>
        </w:rPr>
      </w:pPr>
    </w:p>
    <w:p w14:paraId="02AFCB35">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执行企业标准、团体标准、地方标准的产品，检验项目参照上述内容执行。</w:t>
      </w:r>
    </w:p>
    <w:p w14:paraId="4006EB08">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凡是注日期的文件，其随后所有的修改单（不包括勘误的内容）或修订版不适用于本细则。凡是不注日期的文件，其最新版本适用于本细则。</w:t>
      </w:r>
    </w:p>
    <w:p w14:paraId="32A4247C">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3  判定规则</w:t>
      </w:r>
    </w:p>
    <w:p w14:paraId="17CF2FF2">
      <w:pPr>
        <w:adjustRightInd w:val="0"/>
        <w:snapToGrid w:val="0"/>
        <w:spacing w:line="360" w:lineRule="auto"/>
        <w:rPr>
          <w:rFonts w:hint="eastAsia" w:ascii="宋体" w:hAnsi="宋体"/>
          <w:color w:val="000000"/>
          <w:szCs w:val="21"/>
          <w:lang w:val="en-US" w:eastAsia="zh-CN"/>
        </w:rPr>
      </w:pPr>
      <w:r>
        <w:rPr>
          <w:rFonts w:hint="eastAsia" w:ascii="宋体" w:hAnsi="宋体"/>
          <w:color w:val="000000"/>
          <w:szCs w:val="21"/>
        </w:rPr>
        <w:t>3.1 判定依据：</w:t>
      </w:r>
      <w:r>
        <w:rPr>
          <w:rFonts w:hint="eastAsia" w:ascii="宋体" w:hAnsi="宋体" w:eastAsia="宋体"/>
          <w:color w:val="000000"/>
          <w:szCs w:val="21"/>
          <w:lang w:val="en-US" w:eastAsia="zh-CN"/>
        </w:rPr>
        <w:t>XF 1205-2014</w:t>
      </w:r>
      <w:r>
        <w:rPr>
          <w:rFonts w:hint="eastAsia" w:ascii="宋体" w:hAnsi="宋体"/>
          <w:color w:val="000000"/>
          <w:szCs w:val="21"/>
          <w:lang w:val="en-US" w:eastAsia="zh-CN"/>
        </w:rPr>
        <w:t>《灭火毯》。</w:t>
      </w:r>
    </w:p>
    <w:p w14:paraId="75734BB0">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14:paraId="19E6D333">
      <w:pPr>
        <w:spacing w:line="360" w:lineRule="auto"/>
        <w:ind w:firstLine="420" w:firstLineChars="200"/>
        <w:rPr>
          <w:rFonts w:hint="eastAsia" w:ascii="宋体" w:hAnsi="宋体"/>
          <w:color w:val="000000"/>
          <w:szCs w:val="21"/>
        </w:rPr>
      </w:pPr>
      <w:r>
        <w:rPr>
          <w:rFonts w:hint="eastAsia" w:ascii="宋体" w:hAnsi="宋体"/>
          <w:color w:val="000000"/>
          <w:szCs w:val="21"/>
        </w:rPr>
        <w:t>3.2 判定</w:t>
      </w:r>
      <w:r>
        <w:rPr>
          <w:rFonts w:hint="eastAsia" w:ascii="宋体" w:hAnsi="宋体"/>
          <w:color w:val="000000"/>
          <w:szCs w:val="21"/>
          <w:lang w:eastAsia="zh-CN"/>
        </w:rPr>
        <w:t>原则</w:t>
      </w:r>
      <w:r>
        <w:rPr>
          <w:rFonts w:hint="eastAsia" w:ascii="宋体" w:hAnsi="宋体"/>
          <w:color w:val="000000"/>
          <w:szCs w:val="21"/>
        </w:rPr>
        <w:t>：</w:t>
      </w:r>
      <w:r>
        <w:rPr>
          <w:rFonts w:hint="eastAsia"/>
          <w:color w:val="000000"/>
          <w:szCs w:val="21"/>
        </w:rPr>
        <w:t>经检验，</w:t>
      </w:r>
      <w:r>
        <w:rPr>
          <w:rFonts w:hint="eastAsia"/>
          <w:color w:val="000000"/>
          <w:szCs w:val="21"/>
          <w:lang w:eastAsia="zh-CN"/>
        </w:rPr>
        <w:t>检验项目全部</w:t>
      </w:r>
      <w:r>
        <w:rPr>
          <w:rFonts w:hint="eastAsia"/>
          <w:color w:val="000000"/>
          <w:szCs w:val="21"/>
        </w:rPr>
        <w:t>合格，判定为被抽查产品</w:t>
      </w:r>
      <w:r>
        <w:rPr>
          <w:rFonts w:hint="eastAsia"/>
          <w:color w:val="000000"/>
          <w:szCs w:val="21"/>
          <w:lang w:eastAsia="zh-CN"/>
        </w:rPr>
        <w:t>所检项目未发现不合格</w:t>
      </w:r>
      <w:r>
        <w:rPr>
          <w:rFonts w:hint="eastAsia"/>
          <w:color w:val="000000"/>
          <w:szCs w:val="21"/>
        </w:rPr>
        <w:t>；</w:t>
      </w:r>
      <w:r>
        <w:rPr>
          <w:rFonts w:hint="eastAsia"/>
          <w:color w:val="000000"/>
          <w:szCs w:val="21"/>
          <w:lang w:eastAsia="zh-CN"/>
        </w:rPr>
        <w:t>检验项目中任一项或一项以上</w:t>
      </w:r>
      <w:r>
        <w:rPr>
          <w:rFonts w:hint="eastAsia"/>
          <w:color w:val="000000"/>
          <w:szCs w:val="21"/>
        </w:rPr>
        <w:t>不合格，判定为被抽查样品不合格。</w:t>
      </w:r>
    </w:p>
    <w:p w14:paraId="04E8FD87">
      <w:pPr>
        <w:spacing w:line="360" w:lineRule="auto"/>
        <w:rPr>
          <w:rFonts w:ascii="宋体" w:hAnsi="宋体"/>
          <w:color w:val="000000"/>
          <w:szCs w:val="21"/>
        </w:rPr>
      </w:pPr>
      <w:r>
        <w:rPr>
          <w:rFonts w:hint="eastAsia" w:ascii="宋体" w:hAnsi="宋体"/>
          <w:color w:val="000000"/>
          <w:szCs w:val="21"/>
        </w:rPr>
        <w:t xml:space="preserve">    3.3 检验应注意的问题</w:t>
      </w:r>
    </w:p>
    <w:p w14:paraId="5AEEE53A">
      <w:pPr>
        <w:spacing w:line="360" w:lineRule="auto"/>
        <w:ind w:firstLine="420" w:firstLineChars="200"/>
        <w:rPr>
          <w:rFonts w:hint="eastAsia"/>
          <w:color w:val="000000"/>
        </w:rPr>
      </w:pPr>
      <w:r>
        <w:rPr>
          <w:rFonts w:hint="eastAsia"/>
          <w:color w:val="000000"/>
        </w:rPr>
        <w:t>性能试验过程中若由于产品本身的质量问题导致样品失效，则试验终止，样品按不合格判定。</w:t>
      </w:r>
    </w:p>
    <w:p w14:paraId="651AA560">
      <w:pPr>
        <w:spacing w:line="360" w:lineRule="auto"/>
        <w:ind w:firstLine="420" w:firstLineChars="200"/>
        <w:rPr>
          <w:rFonts w:hint="eastAsia"/>
          <w:color w:val="000000"/>
        </w:rPr>
      </w:pPr>
      <w:r>
        <w:rPr>
          <w:rFonts w:hint="eastAsia"/>
          <w:color w:val="000000"/>
        </w:rPr>
        <w:t>如遇样品封样状态破坏问题、样品异常损坏问题，应及时与抽样人员联系，了解样品抽样时的状况，如有必要，应退回异常样品，并进行重新抽样。</w:t>
      </w:r>
    </w:p>
    <w:p w14:paraId="6C801878">
      <w:pPr>
        <w:spacing w:line="360" w:lineRule="auto"/>
        <w:ind w:firstLine="420" w:firstLineChars="200"/>
        <w:rPr>
          <w:rFonts w:hint="eastAsia" w:ascii="宋体" w:hAnsi="宋体"/>
          <w:color w:val="000000"/>
          <w:szCs w:val="21"/>
        </w:rPr>
      </w:pPr>
      <w:r>
        <w:rPr>
          <w:rFonts w:hint="eastAsia"/>
          <w:color w:val="000000"/>
        </w:rPr>
        <w:t>破坏性试验，试验后，试验样品损毁消耗</w:t>
      </w:r>
      <w:r>
        <w:rPr>
          <w:rFonts w:hint="eastAsia"/>
          <w:color w:val="000000"/>
          <w:lang w:eastAsia="zh-CN"/>
        </w:rPr>
        <w:t>的产品</w:t>
      </w:r>
      <w:r>
        <w:rPr>
          <w:rFonts w:hint="eastAsia"/>
          <w:color w:val="000000"/>
        </w:rPr>
        <w:t>仅对备样进行保存。保存期限为6个月。</w:t>
      </w:r>
    </w:p>
    <w:p w14:paraId="7B9B87FF">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2EF79BEE">
      <w:pPr>
        <w:spacing w:line="360" w:lineRule="auto"/>
        <w:ind w:firstLine="420" w:firstLineChars="200"/>
        <w:rPr>
          <w:rFonts w:hint="eastAsia" w:ascii="宋体" w:hAnsi="宋体"/>
          <w:color w:val="000000"/>
          <w:szCs w:val="21"/>
        </w:rPr>
      </w:pPr>
      <w:r>
        <w:rPr>
          <w:rFonts w:hint="eastAsia" w:ascii="宋体" w:hAnsi="宋体"/>
          <w:color w:val="000000"/>
          <w:szCs w:val="21"/>
        </w:rPr>
        <w:t>若被检</w:t>
      </w:r>
      <w:r>
        <w:rPr>
          <w:rFonts w:hint="eastAsia" w:ascii="宋体" w:hAnsi="宋体"/>
          <w:color w:val="000000"/>
          <w:szCs w:val="21"/>
          <w:lang w:eastAsia="zh-CN"/>
        </w:rPr>
        <w:t>产品</w:t>
      </w:r>
      <w:r>
        <w:rPr>
          <w:rFonts w:hint="eastAsia" w:ascii="宋体" w:hAnsi="宋体"/>
          <w:color w:val="000000"/>
          <w:szCs w:val="21"/>
        </w:rPr>
        <w:t>明示的质量要求低于本细则中检验项目依据的强制性标志要求时，应按在强制性标志要求判定。</w:t>
      </w:r>
    </w:p>
    <w:p w14:paraId="580BBFDB">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若被检产品明示的质量要求低于或包含细则中检验项目依据的推荐性标准要求时，应以被检产品明示的质量要求判定。</w:t>
      </w:r>
    </w:p>
    <w:p w14:paraId="19BE1D02">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0B5D237B">
      <w:pPr>
        <w:spacing w:line="360" w:lineRule="auto"/>
        <w:ind w:firstLine="420" w:firstLineChars="200"/>
        <w:rPr>
          <w:rFonts w:hint="default"/>
          <w:lang w:val="en-US" w:eastAsia="zh-CN"/>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BEE">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9D006E">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yOTlhMjdiZWQwNDk5ODhjMmQxNjA0M2ViNDE5NWUifQ=="/>
  </w:docVars>
  <w:rsids>
    <w:rsidRoot w:val="006824A8"/>
    <w:rsid w:val="00040D37"/>
    <w:rsid w:val="000A12E7"/>
    <w:rsid w:val="00141337"/>
    <w:rsid w:val="002020BB"/>
    <w:rsid w:val="002470DE"/>
    <w:rsid w:val="002F7BE2"/>
    <w:rsid w:val="00492DA6"/>
    <w:rsid w:val="004C06EA"/>
    <w:rsid w:val="004F34C6"/>
    <w:rsid w:val="005343AB"/>
    <w:rsid w:val="00562092"/>
    <w:rsid w:val="005F33A4"/>
    <w:rsid w:val="0062177C"/>
    <w:rsid w:val="006554F4"/>
    <w:rsid w:val="006630F7"/>
    <w:rsid w:val="006824A8"/>
    <w:rsid w:val="007C2479"/>
    <w:rsid w:val="00876445"/>
    <w:rsid w:val="00893BF6"/>
    <w:rsid w:val="00AA7AB3"/>
    <w:rsid w:val="00AB3DD4"/>
    <w:rsid w:val="00E01072"/>
    <w:rsid w:val="00F36998"/>
    <w:rsid w:val="00FC44C4"/>
    <w:rsid w:val="04003524"/>
    <w:rsid w:val="05293CC1"/>
    <w:rsid w:val="059408AE"/>
    <w:rsid w:val="072D0DAD"/>
    <w:rsid w:val="0A6E61A7"/>
    <w:rsid w:val="0C8552B4"/>
    <w:rsid w:val="119972A9"/>
    <w:rsid w:val="121D5EBC"/>
    <w:rsid w:val="124D097B"/>
    <w:rsid w:val="12796DA1"/>
    <w:rsid w:val="13EE4485"/>
    <w:rsid w:val="18E64E50"/>
    <w:rsid w:val="1A675C3E"/>
    <w:rsid w:val="285F2D5E"/>
    <w:rsid w:val="30335F21"/>
    <w:rsid w:val="30D440E7"/>
    <w:rsid w:val="31173E3B"/>
    <w:rsid w:val="36E526E7"/>
    <w:rsid w:val="377838C6"/>
    <w:rsid w:val="3DD87077"/>
    <w:rsid w:val="3F727F1A"/>
    <w:rsid w:val="40F94347"/>
    <w:rsid w:val="43B7530B"/>
    <w:rsid w:val="45633607"/>
    <w:rsid w:val="4BC5037E"/>
    <w:rsid w:val="4BE3345C"/>
    <w:rsid w:val="4CFB09F8"/>
    <w:rsid w:val="5DAB4124"/>
    <w:rsid w:val="5E5D1312"/>
    <w:rsid w:val="6D3B47CD"/>
    <w:rsid w:val="712177C8"/>
    <w:rsid w:val="71D50C23"/>
    <w:rsid w:val="726B02B2"/>
    <w:rsid w:val="7607141B"/>
    <w:rsid w:val="77BC707F"/>
    <w:rsid w:val="78C530AF"/>
    <w:rsid w:val="7AB3653D"/>
    <w:rsid w:val="7D4046D3"/>
    <w:rsid w:val="7EA27483"/>
    <w:rsid w:val="7F5A0F05"/>
    <w:rsid w:val="7F88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link w:val="16"/>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line="360" w:lineRule="atLeast"/>
      <w:jc w:val="left"/>
    </w:pPr>
    <w:rPr>
      <w:rFonts w:ascii="宋体" w:hAnsi="宋体"/>
      <w:kern w:val="0"/>
      <w:szCs w:val="21"/>
    </w:rPr>
  </w:style>
  <w:style w:type="table" w:styleId="8">
    <w:name w:val="Table Grid"/>
    <w:basedOn w:val="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6"/>
    <w:basedOn w:val="1"/>
    <w:next w:val="11"/>
    <w:autoRedefine/>
    <w:qFormat/>
    <w:uiPriority w:val="99"/>
    <w:pPr>
      <w:ind w:firstLine="420" w:firstLineChars="200"/>
    </w:pPr>
    <w:rPr>
      <w:rFonts w:ascii="Calibri" w:hAnsi="Calibri"/>
    </w:rPr>
  </w:style>
  <w:style w:type="paragraph" w:customStyle="1" w:styleId="11">
    <w:name w:val="列表段落"/>
    <w:basedOn w:val="1"/>
    <w:autoRedefine/>
    <w:qFormat/>
    <w:uiPriority w:val="99"/>
    <w:pPr>
      <w:ind w:firstLine="420" w:firstLineChars="200"/>
    </w:pPr>
  </w:style>
  <w:style w:type="paragraph" w:customStyle="1" w:styleId="12">
    <w:name w:val="列出段落1"/>
    <w:basedOn w:val="1"/>
    <w:autoRedefine/>
    <w:qFormat/>
    <w:uiPriority w:val="34"/>
    <w:pPr>
      <w:ind w:firstLine="420" w:firstLineChars="200"/>
    </w:pPr>
  </w:style>
  <w:style w:type="character" w:customStyle="1" w:styleId="13">
    <w:name w:val="fontstyle01"/>
    <w:autoRedefine/>
    <w:qFormat/>
    <w:uiPriority w:val="0"/>
    <w:rPr>
      <w:rFonts w:ascii="黑体" w:hAnsi="宋体" w:eastAsia="黑体" w:cs="黑体"/>
      <w:color w:val="000000"/>
      <w:sz w:val="32"/>
      <w:szCs w:val="32"/>
    </w:rPr>
  </w:style>
  <w:style w:type="character" w:customStyle="1" w:styleId="14">
    <w:name w:val="批注框文本 Char"/>
    <w:basedOn w:val="9"/>
    <w:link w:val="3"/>
    <w:autoRedefine/>
    <w:qFormat/>
    <w:uiPriority w:val="0"/>
    <w:rPr>
      <w:rFonts w:asciiTheme="minorHAnsi" w:hAnsiTheme="minorHAnsi" w:eastAsiaTheme="minorEastAsia" w:cstheme="minorBidi"/>
      <w:kern w:val="2"/>
      <w:sz w:val="18"/>
      <w:szCs w:val="18"/>
    </w:rPr>
  </w:style>
  <w:style w:type="character" w:customStyle="1" w:styleId="15">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6">
    <w:name w:val="页脚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843</Words>
  <Characters>1009</Characters>
  <Lines>18</Lines>
  <Paragraphs>5</Paragraphs>
  <TotalTime>0</TotalTime>
  <ScaleCrop>false</ScaleCrop>
  <LinksUpToDate>false</LinksUpToDate>
  <CharactersWithSpaces>1048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黄波</cp:lastModifiedBy>
  <cp:lastPrinted>2021-06-16T06:56:00Z</cp:lastPrinted>
  <dcterms:modified xsi:type="dcterms:W3CDTF">2025-11-12T02:22:17Z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C158E0D96C6142B98294B542FE743F13_12</vt:lpwstr>
  </property>
  <property fmtid="{D5CDD505-2E9C-101B-9397-08002B2CF9AE}" pid="4" name="KSOTemplateDocerSaveRecord">
    <vt:lpwstr>eyJoZGlkIjoiMzUyOTlhMjdiZWQwNDk5ODhjMmQxNjA0M2ViNDE5NWUiLCJ1c2VySWQiOiIxNzA5NTQ0MzUyIn0=</vt:lpwstr>
  </property>
</Properties>
</file>