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7019">
      <w:pPr>
        <w:wordWrap w:val="0"/>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7093246B">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7D76775F">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27AEE9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1AB4EC2A">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rPr>
        <w:t>号</w:t>
      </w:r>
    </w:p>
    <w:p w14:paraId="3D8526EB">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2A63F11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大冶市陈贵忠信选矿厂</w:t>
      </w:r>
    </w:p>
    <w:p w14:paraId="44BD4E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6EA6605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91420281MA48P7Y54C</w:t>
      </w:r>
    </w:p>
    <w:p w14:paraId="4EBD580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国标仿宋" w:hAnsi="国标仿宋" w:eastAsia="国标仿宋" w:cs="国标仿宋"/>
          <w:color w:val="auto"/>
          <w:sz w:val="32"/>
          <w:szCs w:val="40"/>
          <w:lang w:val="en-US"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大冶陈贵镇袁伏二村</w:t>
      </w:r>
    </w:p>
    <w:p w14:paraId="147A8EB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黄海波</w:t>
      </w:r>
    </w:p>
    <w:p w14:paraId="4E6F08D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年（2024年、2025年）未按规定报送年度报告被列入经营异常名录未改正。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45E2324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经查，当事人大冶市陈贵忠信选矿厂在2004年4月19日依法办理《营业执照》，该经营场所位于大冶陈贵镇袁伏二村，从事铁矿石加工及销售。</w:t>
      </w:r>
    </w:p>
    <w:p w14:paraId="7BB20F5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2019年度至2024年度连续6个年度未通过国家企业信用信息公示系统(湖北)报送并公示年度报告。因未按规定报送年度报告，6个年度均被列入异常经营名录，截至案件调查终止，当事人仍处在异常名录的状态。</w:t>
      </w:r>
    </w:p>
    <w:p w14:paraId="0195695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另查明，当事人在大冶陈贵镇袁伏二村的区域范围内未发现有生产经营活动。通过当事人登记的经营场所、登记留存电话均无法取得联系。当事人也未办理歇业备案、变更登记等手续。</w:t>
      </w:r>
    </w:p>
    <w:p w14:paraId="6C73B43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4658221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11C7579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企业设立登记实地调查表、企业地址方位概略图、湖北省房屋租赁合同各1份，通话记录截图打印件1份，情况说明1份，证明我局执法人员通过当事人登记住所（或经营场所）、预留电话无法与当事人取得联系。</w:t>
      </w:r>
    </w:p>
    <w:p w14:paraId="2024129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75C36D0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3、国家企业信用信息公示系统(湖北)查询当事人列入经营异常名录截图1份，证明当事人未按规定申报、公示2019年度-2024年度报告，并被列入异常经营名录。</w:t>
      </w:r>
    </w:p>
    <w:p w14:paraId="7F5CAB1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6899C1B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3BE99C0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2019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690795D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593A992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6D7C9D99">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77FB14F2">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55C6E363">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2FED7837">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6C71393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7FA8D766">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AF0BDF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0FCD0C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780C40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862E00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E98D4F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68251C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001EDD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14F230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85CCF3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D33AE8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33037A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0E4B65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74C8C4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535097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FACC844">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 name="直接连接符 1"/>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59264;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y9K/XAAAACQEAAA8AAAAAAAAA&#10;AQAgAAAAIgAAAGRycy9kb3ducmV2LnhtbFBLAQIUABQAAAAIAIdO4kAPvP5BSwIAAIMEAAAOAAAA&#10;AAAAAAEAIAAAACYBAABkcnMvZTJvRG9jLnhtbFBLBQYAAAAABgAGAFkBAADjBQAAAAA=&#10;">
                <v:path arrowok="t"/>
                <v:fill on="f" focussize="0,0"/>
                <v:stroke weight="1pt" joinstyle="miter"/>
                <v:imagedata o:title=""/>
                <o:lock v:ext="edit" aspectratio="f"/>
                <v:shadow on="t" color="#FFFFFF" opacity="39321f" offset="0pt,4pt"/>
              </v:line>
            </w:pict>
          </mc:Fallback>
        </mc:AlternateContent>
      </w:r>
    </w:p>
    <w:p w14:paraId="7CB78236">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4" w:type="first"/>
          <w:footerReference r:id="rId5" w:type="first"/>
          <w:headerReference r:id="rId3"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1B894E31">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5488D013">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06512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58D8C259">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号</w:t>
      </w:r>
    </w:p>
    <w:p w14:paraId="0849B349">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08EE293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国标仿宋" w:hAnsi="国标仿宋" w:eastAsia="国标仿宋" w:cs="国标仿宋"/>
          <w:color w:val="auto"/>
          <w:sz w:val="32"/>
          <w:szCs w:val="40"/>
          <w:lang w:val="en-US"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大冶雄楚商贸有限公司</w:t>
      </w:r>
    </w:p>
    <w:p w14:paraId="739E7AD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000095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91420281MA492KTU8F</w:t>
      </w:r>
    </w:p>
    <w:p w14:paraId="48066E7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大冶市陈贵镇洋塘村陈公俊小区48号</w:t>
      </w:r>
    </w:p>
    <w:p w14:paraId="26636D7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许峰</w:t>
      </w:r>
    </w:p>
    <w:p w14:paraId="5C70F4C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0892B9D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经查，当事人大冶雄楚商贸有限公司在2018年1月4日依法办理《营业执照》，该经营场所位于大冶市陈贵镇洋塘村陈公俊小区48号，从事销售建筑材料、钢材，船舶燃料油研发及批发零售（不含危险化学品）。</w:t>
      </w:r>
    </w:p>
    <w:p w14:paraId="5828CFF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2021年度至2024年度连续4个年度未通过国家企业信用信息公示系统(湖北)报送并公示年度报告。因未按规定报送年度报告，4个年度均被列入异常经营名录，截至案件调查终止，当事人仍处在异常名录的状态。</w:t>
      </w:r>
    </w:p>
    <w:p w14:paraId="28498DB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另查明，当事人在大冶市陈贵镇洋塘村陈公俊小区48号的区域范围内未发现有生产经营活动。通过当事人登记的经营场所、登记留存电话均无法取得联系。当事人也未办理歇业备案、变更登记等手续。</w:t>
      </w:r>
    </w:p>
    <w:p w14:paraId="53A196D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792487B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655DACE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经营场所证明、关于同意将住宅改变为经营性用房的证明、住所（经营场所）登记表、房屋租赁合同、门牌证各1份，通话记录截图打印件1份，证明我局执法人员通过当事人登记住所（或经营场所）、预留电话无法与当事人取得联系。</w:t>
      </w:r>
    </w:p>
    <w:p w14:paraId="3463ACD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7D60BD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3、国家企业信用信息公示系统(湖北)查询当事人列入经营异常名录截图1份，证明当事人未按规定申报、公示2021年度-2024年度报告，并被列入异常经营名录。</w:t>
      </w:r>
    </w:p>
    <w:p w14:paraId="2CCC3B7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497F496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6ADDD0A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w:t>
      </w:r>
      <w:r>
        <w:rPr>
          <w:rFonts w:hint="eastAsia" w:ascii="国标仿宋" w:hAnsi="国标仿宋" w:eastAsia="国标仿宋" w:cs="国标仿宋"/>
          <w:color w:val="auto"/>
          <w:sz w:val="32"/>
          <w:szCs w:val="40"/>
          <w:lang w:val="en-US" w:eastAsia="zh-CN"/>
        </w:rPr>
        <w:t>2021年度-2024</w:t>
      </w:r>
      <w:r>
        <w:rPr>
          <w:rFonts w:hint="eastAsia" w:ascii="仿宋_GB2312" w:hAnsi="仿宋_GB2312" w:eastAsia="仿宋_GB2312" w:cs="仿宋_GB2312"/>
          <w:color w:val="auto"/>
          <w:sz w:val="32"/>
          <w:szCs w:val="32"/>
          <w:lang w:val="en-US" w:eastAsia="zh-CN"/>
        </w:rPr>
        <w:t>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5C3117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59340F9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768D7B83">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6C56808E">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2E41F343">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13789459">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51B3E73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1AC3C47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A85CB5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F94DC16">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B420F3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B03428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4EDB81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705C8F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D69B78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E3E4BB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4B460F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BB2AEA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B9001B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1F75A4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E2F475E">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0" name="直接连接符 10"/>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0288;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ALxqHDTA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MvSv1wAAAAkBAAAPAAAAAAAA&#10;AAEAIAAAACIAAABkcnMvZG93bnJldi54bWxQSwECFAAUAAAACACHTuJAC8ahw0wCAACFBAAADgAA&#10;AAAAAAABACAAAAAmAQAAZHJzL2Uyb0RvYy54bWxQSwUGAAAAAAYABgBZAQAA5AUAAAAA&#10;">
                <v:path arrowok="t"/>
                <v:fill on="f" focussize="0,0"/>
                <v:stroke weight="1pt" joinstyle="miter"/>
                <v:imagedata o:title=""/>
                <o:lock v:ext="edit" aspectratio="f"/>
                <v:shadow on="t" color="#FFFFFF" opacity="39321f" offset="0pt,4pt"/>
              </v:line>
            </w:pict>
          </mc:Fallback>
        </mc:AlternateContent>
      </w:r>
    </w:p>
    <w:p w14:paraId="3A90314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7" w:type="first"/>
          <w:footerReference r:id="rId8" w:type="first"/>
          <w:headerReference r:id="rId6"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04BE1F55">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4CCEEAFA">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037E89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29608D81">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号</w:t>
      </w:r>
    </w:p>
    <w:p w14:paraId="388654AF">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5355D0F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大冶市春龙生态农业发展有限公司</w:t>
      </w:r>
    </w:p>
    <w:p w14:paraId="4E78700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2E68C9F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国标仿宋" w:hAnsi="国标仿宋" w:eastAsia="国标仿宋" w:cs="国标仿宋"/>
          <w:color w:val="auto"/>
          <w:sz w:val="32"/>
          <w:szCs w:val="40"/>
          <w:lang w:val="en-US"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91420281MA490LP5XG</w:t>
      </w:r>
    </w:p>
    <w:p w14:paraId="0371104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大冶市陈贵镇李河村黄祖泗下门湾72号</w:t>
      </w:r>
    </w:p>
    <w:p w14:paraId="60FB5EA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方春林</w:t>
      </w:r>
    </w:p>
    <w:p w14:paraId="03A7C4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10CABDB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春龙生态农业发展有限公司在2017年7月17日依法办理《营业执照》，该经营场所位于大冶市陈贵镇李河村黄祖泗下门湾72号，从事农业种植；水产品养殖；农、水产品销售及收购；农、水产品信息技术服务与深加工。</w:t>
      </w:r>
    </w:p>
    <w:p w14:paraId="563E8ED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2021年度至2024年度连续4个年度未通过国家企业信用信息公示系统(湖北)报送并公示年度报告。因未按规定报送年度报告，4个年度均被列入异常经营名录，截至案件调查终止，当事人仍处在异常名录的状态。</w:t>
      </w:r>
    </w:p>
    <w:p w14:paraId="680D196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另查明，当事人在大冶市陈贵镇李河村黄祖泗下门湾72号的区域范围内未发现有生产经营活动。通过当事人登记的经营场所、登记留存电话均无法取得联系。当事人也未办理歇业备案、变更登记等手续。</w:t>
      </w:r>
    </w:p>
    <w:p w14:paraId="107E987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54D96B7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79F3C2C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门牌证、房屋租赁合同各1份，通话记录截图打印件1份，情况说明1份，证明我局执法人员通过当事人登记住所（或经营场所）、预留电话无法与当事人取得联系。</w:t>
      </w:r>
    </w:p>
    <w:p w14:paraId="2377A0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4BA029E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3、国家企业信用信息公示系统(湖北)查询当事人列入经营异常名录截图1份，证明当事人未按规定申报、公示2021年度-2024年度报告，并被列入异常经营名录。</w:t>
      </w:r>
    </w:p>
    <w:p w14:paraId="667713F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082EE13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34E29D8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2021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5454813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7037D1F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1B277C8F">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10248CD3">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1CBF3AE3">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23AB6764">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7FAEAA7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041AF87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200AED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AEE2C9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8931B29">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F7E6C2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0C86E6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F142DC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4C5DE2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BE39D4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F131D39">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7FCD60F">
      <w:pPr>
        <w:spacing w:line="500" w:lineRule="exact"/>
        <w:ind w:right="1424"/>
        <w:rPr>
          <w:rFonts w:hint="eastAsia" w:ascii="仿宋" w:hAnsi="仿宋" w:eastAsia="仿宋" w:cs="仿宋"/>
          <w:b/>
          <w:bCs/>
          <w:color w:val="auto"/>
          <w:szCs w:val="28"/>
        </w:rPr>
      </w:pPr>
    </w:p>
    <w:p w14:paraId="1760AC7D">
      <w:pPr>
        <w:spacing w:line="500" w:lineRule="exact"/>
        <w:ind w:right="1424"/>
        <w:rPr>
          <w:rFonts w:hint="eastAsia" w:ascii="仿宋" w:hAnsi="仿宋" w:eastAsia="仿宋" w:cs="仿宋"/>
          <w:b/>
          <w:bCs/>
          <w:color w:val="auto"/>
          <w:szCs w:val="28"/>
        </w:rPr>
      </w:pPr>
    </w:p>
    <w:p w14:paraId="5A8D5FD9">
      <w:pPr>
        <w:spacing w:line="500" w:lineRule="exact"/>
        <w:ind w:right="1424"/>
        <w:rPr>
          <w:rFonts w:hint="eastAsia" w:ascii="仿宋" w:hAnsi="仿宋" w:eastAsia="仿宋" w:cs="仿宋"/>
          <w:b/>
          <w:bCs/>
          <w:color w:val="auto"/>
          <w:szCs w:val="28"/>
        </w:rPr>
      </w:pPr>
    </w:p>
    <w:p w14:paraId="4DC201F6">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1" name="直接连接符 11"/>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1312;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DkduhqTQ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OR26Gp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2B4658C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10" w:type="first"/>
          <w:footerReference r:id="rId11" w:type="first"/>
          <w:headerReference r:id="rId9"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5515AFFC">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4071FC23">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34767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1ACC246E">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号</w:t>
      </w:r>
    </w:p>
    <w:p w14:paraId="55684182">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0BB4810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大冶市永盛贸易有限公司</w:t>
      </w:r>
    </w:p>
    <w:p w14:paraId="6101980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35B2ED1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91420281MA4934N655</w:t>
      </w:r>
    </w:p>
    <w:p w14:paraId="6944C8C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大冶市陈贵镇天台山村郭思恭小区94号</w:t>
      </w:r>
    </w:p>
    <w:p w14:paraId="61088B6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刘志刚</w:t>
      </w:r>
    </w:p>
    <w:p w14:paraId="63228CD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583284F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永盛贸易有限公司在2018年3月8日依法办理《营业执照》，该经营场所位于大冶市陈贵镇天台山村郭思恭小区94号，从事矿产品、冰铜、粗铜、有色金属、贵金属、钢材、建材、化工产品（不含危险化学品）、电子产品、碎石销售；货物进出口贸易。</w:t>
      </w:r>
    </w:p>
    <w:p w14:paraId="317E788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2021年度至2024年度连续4个年度未通过国家企业信用信息公示系统(湖北)报送并公示年度报告。因未按规定报送年度报告，4个年度均被列入异常经营名录，截至案件调查终止，当事人仍处在异常名录的状态。</w:t>
      </w:r>
    </w:p>
    <w:p w14:paraId="48F3ED9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另查明，当事人在大冶市陈贵镇天台山村郭思恭小区94号的区域范围内未发现有生产经营活动。通过当事人登记的经营场所、登记留存电话均无法取得联系。当事人也未办理歇业备案、变更登记等手续。</w:t>
      </w:r>
    </w:p>
    <w:p w14:paraId="4C0A4AA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465BBCB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11BA6EF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住所（经营场所）登记表、关于同意将住宅改变为经营性用房的证明、经营场所证明、场地说明、门牌证各1份，通话记录截图打印件1份，证明我局执法人员通过当事人登记住所（或经营场所）、预留电话无法与当事人取得联系。</w:t>
      </w:r>
    </w:p>
    <w:p w14:paraId="0AFE5D2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7E4EC42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3、国家企业信用信息公示系统(湖北)查询当事人列入经营异常名录截图1份，证明当事人未按规定申报、公示2021年度-2024年度报告，并被列入异常经营名录。</w:t>
      </w:r>
    </w:p>
    <w:p w14:paraId="45630A0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59F5F99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3D2A6BE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2021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48E25FF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631DFAC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2856BBB1">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5AF502AB">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35DDB2DF">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1A62782F">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01D45D4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5B2D1D4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13E695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D0FCC79">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930E08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C50710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4AA30D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1D78C8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6776786">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862E53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62EB57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3CB212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D91276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0925D6B">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2" name="直接连接符 12"/>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2336;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CUoUNKTQ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JShQ0p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3AB6347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13" w:type="first"/>
          <w:footerReference r:id="rId14" w:type="first"/>
          <w:headerReference r:id="rId12"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017B9BE2">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711428A2">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19C2BD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4D2020DB">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号</w:t>
      </w:r>
    </w:p>
    <w:p w14:paraId="131C3997">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12A34F7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大冶市陈贵镇为东选厂</w:t>
      </w:r>
    </w:p>
    <w:p w14:paraId="635C9E7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1A480F7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91420281MA48P84T2F</w:t>
      </w:r>
    </w:p>
    <w:p w14:paraId="4780CA3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湖北省大冶市陈贵华垅村陈子山</w:t>
      </w:r>
    </w:p>
    <w:p w14:paraId="747947E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肖敬国</w:t>
      </w:r>
    </w:p>
    <w:p w14:paraId="351185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34F869B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经查，当事人大冶市陈贵镇为东选厂在2002年12月5日依法办理《营业执照》，该经营场所位于大冶市陈贵华垅村陈子山，从事铜、铁矿磁选及销售。</w:t>
      </w:r>
    </w:p>
    <w:p w14:paraId="6D3582D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2016年度至2024年度连续9个年度未通过国家企业信用信息公示系统(湖北)报送并公示年度报告。因未按规定报送年度报告，9个年度均被列入异常经营名录，截至案件调查终止，当事人仍处在异常名录的状态。</w:t>
      </w:r>
    </w:p>
    <w:p w14:paraId="35777A5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另查明，当事人在大冶市陈贵华垅村陈子山的区域范围内未发现有生产经营活动。通过当事人登记的经营场所、登记留存电话均无法取得联系。当事人也未办理歇业备案、变更登记等手续。</w:t>
      </w:r>
    </w:p>
    <w:p w14:paraId="47687B3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573DA10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195C959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企业住所、经营场所使用证明书1份，通话记录截图打印件1份，情况说明1份，证明我局执法人员通过当事人登记住所（或经营场所）、预留电话无法与当事人取得联系。</w:t>
      </w:r>
    </w:p>
    <w:p w14:paraId="5B34C72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38847CE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3、国家企业信用信息公示系统(湖北)查询当事人列入经营异常名录截图1份，证明当事人未按规定申报、公示2016年度-2024年度报告，并被列入异常经营名录。</w:t>
      </w:r>
    </w:p>
    <w:p w14:paraId="374122A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722C4F0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73C04C2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2016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6CFE0BE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66C37A7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7A211604">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20194316">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76BE6830">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1B593DDA">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051F6E5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1EA8C90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A3B702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CF14BE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21DCA8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C0D8F5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04C924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70EF5F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8654B0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B03285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341B24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37A9A2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9BC1DB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D25ED0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81CF3A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45C981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9D8C287">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3360"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3" name="直接连接符 13"/>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3360;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HsRCuN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4D5D296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16" w:type="first"/>
          <w:footerReference r:id="rId17" w:type="first"/>
          <w:headerReference r:id="rId15"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598EB1C3">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58B64A63">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0F2680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37742272">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号</w:t>
      </w:r>
    </w:p>
    <w:p w14:paraId="3C1D1786">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1733946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大冶市陈贵镇雅杰家电维修安装有限公司</w:t>
      </w:r>
    </w:p>
    <w:p w14:paraId="58E8C1E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6BD5FCA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914202813164172243</w:t>
      </w:r>
    </w:p>
    <w:p w14:paraId="2EB2995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大冶市陈贵镇友谊路一号门面</w:t>
      </w:r>
    </w:p>
    <w:p w14:paraId="0F4D0C6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国标仿宋" w:hAnsi="国标仿宋" w:eastAsia="国标仿宋" w:cs="国标仿宋"/>
          <w:color w:val="auto"/>
          <w:sz w:val="32"/>
          <w:szCs w:val="40"/>
          <w:lang w:val="en-US"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陈本高</w:t>
      </w:r>
    </w:p>
    <w:p w14:paraId="6CCC425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15B016C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经查，当事人大冶市陈贵镇雅杰家电维修安装有限公司在2014年11月13日依法办理《营业执照》，该经营场所位于大冶市陈贵镇友谊路一号门面，从事家电维修及安装。</w:t>
      </w:r>
    </w:p>
    <w:p w14:paraId="7154FC0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2021年度至2024年度连续4个年度未通过国家企业信用信息公示系统(湖北)报送并公示年度报告。因未按规定报送年度报告，4个年度均被列入异常经营名录，截至案件调查终止，当事人仍处在异常名录的状态。</w:t>
      </w:r>
    </w:p>
    <w:p w14:paraId="7B43DE2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另查明，当事人在大冶市陈贵镇友谊路一号门面的区域范围内未发现有生产经营活动。通过当事人登记的经营场所、登记留存电话均无法取得联系。当事人也未办理歇业备案、变更登记等手续。</w:t>
      </w:r>
    </w:p>
    <w:p w14:paraId="2E8CC0F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7700BCF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60169A9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1、《现场笔录》1份，现场检查图片2张，登记系统查当事人基本信息1份，通话记录截图打印件1份，情况说明1份，证明我局执法人员通过当事人登记住所（或经营场所）、预留电话无法与当事人取得联系。</w:t>
      </w:r>
    </w:p>
    <w:p w14:paraId="03DE1A6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53730E8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3、国家企业信用信息公示系统(湖北)查询当事人列入经营异常名录截图1份，证明当事人未按规定申报、公示2021年度-2024年度报告，并被列入异常经营名录。</w:t>
      </w:r>
    </w:p>
    <w:p w14:paraId="129F97C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0F1C6DD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2B85792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2021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29C2278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7911F04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7E756912">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5C36E753">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5CFE8E9D">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476815B6">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1B887A09">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49CC9E3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70C7B4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DC527B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C61049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DABD7D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B65BF1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289B47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34582A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BC02FC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B45F81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ADF299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6E95F0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E1F55B9">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CC866A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05E9DC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8E8F25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FE40889">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4384"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4" name="直接连接符 14"/>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4384;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B0DxQLTQ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HQPFAt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3401759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19" w:type="first"/>
          <w:footerReference r:id="rId20" w:type="first"/>
          <w:headerReference r:id="rId18"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3D41AB73"/>
    <w:p w14:paraId="22027BAC"/>
    <w:p w14:paraId="2F3601A9">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646D0731">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125A50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10C11BF9">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号</w:t>
      </w:r>
    </w:p>
    <w:p w14:paraId="51D9385D">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6AD2FB6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大冶市铜山口俊宇汽车运输有限公司</w:t>
      </w:r>
    </w:p>
    <w:p w14:paraId="5B5020E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1A245EF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91420281343483024L</w:t>
      </w:r>
    </w:p>
    <w:p w14:paraId="7D5E02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大冶市陈贵镇陈家湾9组</w:t>
      </w:r>
    </w:p>
    <w:p w14:paraId="6C88E51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陈俊清</w:t>
      </w:r>
    </w:p>
    <w:p w14:paraId="7915869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2659FF4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经查，当事人大冶市铜山口俊宇汽车运输有限公司在2015年7月14日依法办理《营业执照》，该经营场所位于大冶市陈贵镇陈家湾9组，从事货物运输、装卸及仓储，销售建筑材料、矿产品及非金属矿。</w:t>
      </w:r>
    </w:p>
    <w:p w14:paraId="7F7EB64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2021年度至2024年度连续4个年度未通过国家企业信用信息公示系统(湖北)报送并公示年度报告。因未按规定报送年度报告，4个年度均被列入异常经营名录，截至案件调查终止，当事人仍处在异常名录的状态。</w:t>
      </w:r>
    </w:p>
    <w:p w14:paraId="03595B7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另查明，当事人在大冶市陈贵镇陈家湾9组的区域范围内未发现有生产经营活动。通过当事人登记的经营场所、登记留存电话均无法取得联系。当事人也未办理歇业备案、变更登记等手续。</w:t>
      </w:r>
    </w:p>
    <w:p w14:paraId="5D9BC4F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3061B70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5280768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询当事人基本信息1份、企业设立登记实地调查表和企业地址方位概略图照片各1份，通话记录截图1份，情况说明1份，证明我局执法人员通过当事人登记住所（或经营场所）、预留电话无法与当事人取得联系。</w:t>
      </w:r>
    </w:p>
    <w:p w14:paraId="12F091B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69E4CF1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3、国家企业信用信息公示系统(湖北)查询当事人列入经营异常名录截图1份，证明当事人未按规定申报、公示2019年度-2024年度报告，并被列入异常经营名录。</w:t>
      </w:r>
    </w:p>
    <w:p w14:paraId="05F1526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4、国家税务总局大冶市税务局提供的《2023和2024年度未年报企业税务登记及报税情况》1份，证明当事人进行过税务登记但2024和2025年度未进行报税且处于非正常户状态的事实。</w:t>
      </w:r>
    </w:p>
    <w:p w14:paraId="58D9376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0317C85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2021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1D2395C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647F54A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236B1164">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593DC072">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1158D3AD">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770CDC8C">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4B4883C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73EBF84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D8A54C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9434EB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758B57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6F6C913">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8946CFF">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CE2B9D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4C4950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6DD5E4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DC20E0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BD9106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0A8031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768973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AAC3660">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5408"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5" name="直接连接符 15"/>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5408;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wy9K/XAAAACQEAAA8AAAAA&#10;AAAAAQAgAAAAIgAAAGRycy9kb3ducmV2LnhtbFBLAQIUABQAAAAIAIdO4kCbv12iTgIAAIUEAAAO&#10;AAAAAAAAAAEAIAAAACYBAABkcnMvZTJvRG9jLnhtbFBLBQYAAAAABgAGAFkBAADmBQAAAAA=&#10;">
                <v:path arrowok="t"/>
                <v:fill on="f" focussize="0,0"/>
                <v:stroke weight="1pt" joinstyle="miter"/>
                <v:imagedata o:title=""/>
                <o:lock v:ext="edit" aspectratio="f"/>
                <v:shadow on="t" color="#FFFFFF" opacity="39321f" offset="0pt,4pt"/>
              </v:line>
            </w:pict>
          </mc:Fallback>
        </mc:AlternateContent>
      </w:r>
    </w:p>
    <w:p w14:paraId="51911DE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22" w:type="first"/>
          <w:footerReference r:id="rId23" w:type="first"/>
          <w:headerReference r:id="rId21"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6F16B685"/>
    <w:p w14:paraId="6F86E10F"/>
    <w:p w14:paraId="132B108D">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管理局</w:t>
      </w:r>
    </w:p>
    <w:p w14:paraId="60FBA427">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0BD569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3175043F">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号</w:t>
      </w:r>
    </w:p>
    <w:p w14:paraId="2C8054EE">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7929D0D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大冶市富峰特钢有限责任公司</w:t>
      </w:r>
    </w:p>
    <w:p w14:paraId="0EB99AB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3A69437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仿宋_GB2312" w:hAnsi="仿宋_GB2312" w:eastAsia="仿宋_GB2312" w:cs="仿宋_GB2312"/>
          <w:color w:val="auto"/>
          <w:sz w:val="32"/>
          <w:szCs w:val="32"/>
          <w:lang w:val="en-US" w:eastAsia="zh-CN"/>
        </w:rPr>
        <w:t>914202817476984004</w:t>
      </w:r>
    </w:p>
    <w:p w14:paraId="5D472C6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仿宋_GB2312" w:hAnsi="仿宋_GB2312" w:eastAsia="仿宋_GB2312" w:cs="仿宋_GB2312"/>
          <w:color w:val="auto"/>
          <w:sz w:val="32"/>
          <w:szCs w:val="32"/>
          <w:lang w:val="en-US" w:eastAsia="zh-CN"/>
        </w:rPr>
        <w:t>大冶市陈贵镇陈贵村陈贵大道东59号</w:t>
      </w:r>
    </w:p>
    <w:p w14:paraId="37C8628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仿宋_GB2312" w:hAnsi="仿宋_GB2312" w:eastAsia="仿宋_GB2312" w:cs="仿宋_GB2312"/>
          <w:color w:val="auto"/>
          <w:sz w:val="32"/>
          <w:szCs w:val="32"/>
          <w:lang w:val="en-US" w:eastAsia="zh-CN"/>
        </w:rPr>
        <w:t>杨善豪</w:t>
      </w:r>
    </w:p>
    <w:p w14:paraId="56CA8D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4F7202E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大冶市富峰特钢有限责任公司在2004年11月22日依法办理《营业执照》，该经营场所位于大冶市陈贵镇陈贵村陈贵大道东59号，从事特殊钢研究、开发及制造；农业机具用钢制造、模具设计制造及销售，货物进出口贸易。</w:t>
      </w:r>
    </w:p>
    <w:p w14:paraId="48227C0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2019年度至2024年度连续6个年度未通过国家企业信用信息公示系统(湖北)报送并公示年度报告。因未按规定报送年度报告6个年度均被列入异常经营名录，截至案件调查终止，当事人仍处在异常名录的状态。</w:t>
      </w:r>
    </w:p>
    <w:p w14:paraId="3E0B1BD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另查明，当事人在大冶市陈贵镇陈贵村陈贵大道东59号的区域范围内未发现有生产经营活动。通过当事人登记的经营场所、登记留存电话均无法取得联系。当事人也未办理歇业备案、变更登记等手续。</w:t>
      </w:r>
    </w:p>
    <w:p w14:paraId="5F78092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还查明，当事人已经税务登记，但2024和2025年度未进行纳税申报，当前处于非正常户状态。</w:t>
      </w:r>
    </w:p>
    <w:p w14:paraId="4D54DEA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50A7D79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询当事人基本信息1份、企业设立登记实地调查表和企业地址方位概略图照片各1份，通话记录截图1份，情况说明1份，证明我局执法人员通过当事人登记住所（或经营场所）、预留电话无法与当事人取得联系。</w:t>
      </w:r>
    </w:p>
    <w:p w14:paraId="4569BDF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055CC8C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3、国家企业信用信息公示系统(湖北)查询当事人列入经营异常名录截图1份，证明当事人未按规定申报、公示2019年度-2024年度报告，并被列入异常经营名录。</w:t>
      </w:r>
    </w:p>
    <w:p w14:paraId="168B736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4、国家税务总局大冶市税务局提供的《2023和2024年度未年报企业税务登记及报税情况》1份，证明当事人进行过税务登记但2024和2025年度未进行报税且处于非正常户状态的事实。</w:t>
      </w:r>
    </w:p>
    <w:p w14:paraId="066CC3D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26F493E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2019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0A470D3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65095A1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3ED7F8C3">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79721048">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126600DF">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13F0ADFF">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7D1A4C9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17B142EB">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C44E76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1FC7FE1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EB62A5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17C01D8">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262ACF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BC42B9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FCD410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5ED7C342">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BE22CB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4E7CACF">
      <w:pPr>
        <w:spacing w:line="500" w:lineRule="exact"/>
        <w:ind w:right="1424"/>
        <w:rPr>
          <w:rFonts w:hint="eastAsia" w:ascii="仿宋" w:hAnsi="仿宋" w:eastAsia="仿宋" w:cs="仿宋"/>
          <w:b/>
          <w:bCs/>
          <w:color w:val="auto"/>
          <w:szCs w:val="28"/>
        </w:rPr>
      </w:pPr>
    </w:p>
    <w:p w14:paraId="2C987278">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6432"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6" name="直接连接符 16"/>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6432;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DraPaCTQ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Oto9oJ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7108233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25" w:type="first"/>
          <w:footerReference r:id="rId26" w:type="first"/>
          <w:headerReference r:id="rId24"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6C0F10A3"/>
    <w:p w14:paraId="0598E082">
      <w:pPr>
        <w:snapToGrid w:val="0"/>
        <w:spacing w:line="490" w:lineRule="atLeast"/>
        <w:ind w:left="719" w:leftChars="174" w:hanging="354" w:hangingChars="49"/>
        <w:jc w:val="center"/>
        <w:rPr>
          <w:color w:val="auto"/>
          <w:sz w:val="72"/>
        </w:rPr>
      </w:pPr>
      <w:r>
        <w:rPr>
          <w:rFonts w:hint="eastAsia" w:eastAsia="黑体"/>
          <w:b/>
          <w:color w:val="auto"/>
          <w:sz w:val="72"/>
        </w:rPr>
        <w:t>大冶市</w:t>
      </w:r>
      <w:r>
        <w:rPr>
          <w:rFonts w:hint="eastAsia" w:eastAsia="黑体"/>
          <w:b/>
          <w:color w:val="auto"/>
          <w:sz w:val="72"/>
          <w:lang w:eastAsia="zh-CN"/>
        </w:rPr>
        <w:t>市场监督</w:t>
      </w:r>
      <w:r>
        <w:rPr>
          <w:rFonts w:hint="eastAsia" w:eastAsia="黑体"/>
          <w:b/>
          <w:color w:val="auto"/>
          <w:sz w:val="72"/>
        </w:rPr>
        <w:t>管</w:t>
      </w:r>
      <w:bookmarkStart w:id="0" w:name="_GoBack"/>
      <w:bookmarkEnd w:id="0"/>
      <w:r>
        <w:rPr>
          <w:rFonts w:hint="eastAsia" w:eastAsia="黑体"/>
          <w:b/>
          <w:color w:val="auto"/>
          <w:sz w:val="72"/>
        </w:rPr>
        <w:t>理局</w:t>
      </w:r>
    </w:p>
    <w:p w14:paraId="6E1E4083">
      <w:pPr>
        <w:snapToGrid w:val="0"/>
        <w:spacing w:line="490" w:lineRule="atLeast"/>
        <w:jc w:val="center"/>
        <w:rPr>
          <w:rFonts w:hint="eastAsia" w:eastAsia="黑体"/>
          <w:color w:val="auto"/>
          <w:sz w:val="4"/>
          <w:lang w:eastAsia="zh-CN"/>
        </w:rPr>
      </w:pPr>
      <w:r>
        <w:rPr>
          <w:rFonts w:hint="eastAsia" w:eastAsia="黑体"/>
          <w:b/>
          <w:color w:val="auto"/>
          <w:sz w:val="72"/>
        </w:rPr>
        <w:t>行政处罚决定</w:t>
      </w:r>
      <w:r>
        <w:rPr>
          <w:rFonts w:hint="eastAsia" w:eastAsia="黑体"/>
          <w:b/>
          <w:color w:val="auto"/>
          <w:sz w:val="72"/>
          <w:lang w:eastAsia="zh-CN"/>
        </w:rPr>
        <w:t>书</w:t>
      </w:r>
    </w:p>
    <w:p w14:paraId="4BCC9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lang w:eastAsia="zh-CN"/>
        </w:rPr>
      </w:pPr>
    </w:p>
    <w:p w14:paraId="01598DD2">
      <w:pPr>
        <w:keepNext w:val="0"/>
        <w:keepLines w:val="0"/>
        <w:pageBreakBefore w:val="0"/>
        <w:widowControl w:val="0"/>
        <w:kinsoku/>
        <w:wordWrap/>
        <w:overflowPunct/>
        <w:topLinePunct w:val="0"/>
        <w:autoSpaceDE/>
        <w:autoSpaceDN/>
        <w:bidi w:val="0"/>
        <w:adjustRightInd/>
        <w:snapToGrid/>
        <w:spacing w:line="640" w:lineRule="exact"/>
        <w:ind w:right="0" w:righ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冶市监处罚〔202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color w:val="auto"/>
          <w:sz w:val="32"/>
          <w:szCs w:val="32"/>
        </w:rPr>
        <w:t>号</w:t>
      </w:r>
    </w:p>
    <w:p w14:paraId="711BACD4">
      <w:pPr>
        <w:widowControl/>
        <w:suppressAutoHyphens/>
        <w:autoSpaceDE w:val="0"/>
        <w:autoSpaceDN w:val="0"/>
        <w:spacing w:line="500" w:lineRule="exact"/>
        <w:rPr>
          <w:rFonts w:hint="eastAsia" w:ascii="仿宋" w:hAnsi="仿宋" w:eastAsia="仿宋"/>
          <w:color w:val="auto"/>
          <w:sz w:val="32"/>
          <w:szCs w:val="32"/>
          <w:u w:val="thick"/>
          <w:lang w:val="en-US" w:eastAsia="zh-CN"/>
        </w:rPr>
      </w:pP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r>
        <w:rPr>
          <w:rFonts w:hint="eastAsia" w:ascii="仿宋" w:hAnsi="仿宋" w:eastAsia="仿宋"/>
          <w:color w:val="auto"/>
          <w:sz w:val="32"/>
          <w:szCs w:val="32"/>
          <w:u w:val="thick"/>
        </w:rPr>
        <w:t xml:space="preserve"> </w:t>
      </w:r>
      <w:r>
        <w:rPr>
          <w:rFonts w:hint="eastAsia" w:ascii="仿宋" w:hAnsi="仿宋" w:eastAsia="仿宋"/>
          <w:color w:val="auto"/>
          <w:sz w:val="32"/>
          <w:szCs w:val="32"/>
          <w:u w:val="thick"/>
          <w:lang w:val="en-US" w:eastAsia="zh-CN"/>
        </w:rPr>
        <w:t xml:space="preserve"> </w:t>
      </w:r>
    </w:p>
    <w:p w14:paraId="00D3873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当事人：</w:t>
      </w:r>
      <w:r>
        <w:rPr>
          <w:rFonts w:hint="eastAsia" w:ascii="国标仿宋" w:hAnsi="国标仿宋" w:eastAsia="国标仿宋" w:cs="国标仿宋"/>
          <w:color w:val="auto"/>
          <w:sz w:val="32"/>
          <w:szCs w:val="40"/>
          <w:lang w:val="en-US" w:eastAsia="zh-CN"/>
        </w:rPr>
        <w:t>大冶市陈贵镇草坪选矿厂</w:t>
      </w:r>
    </w:p>
    <w:p w14:paraId="0B542D7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主体资格证照名称：《营业执照》</w:t>
      </w:r>
    </w:p>
    <w:p w14:paraId="69F7F4D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统一社会信用代码：</w:t>
      </w:r>
      <w:r>
        <w:rPr>
          <w:rFonts w:hint="eastAsia" w:ascii="国标仿宋" w:hAnsi="国标仿宋" w:eastAsia="国标仿宋" w:cs="国标仿宋"/>
          <w:color w:val="auto"/>
          <w:sz w:val="32"/>
          <w:szCs w:val="40"/>
          <w:lang w:val="en-US" w:eastAsia="zh-CN"/>
        </w:rPr>
        <w:t>91420281MA48P8325A</w:t>
      </w:r>
    </w:p>
    <w:p w14:paraId="76346B4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住所：</w:t>
      </w:r>
      <w:r>
        <w:rPr>
          <w:rFonts w:hint="eastAsia" w:ascii="国标仿宋" w:hAnsi="国标仿宋" w:eastAsia="国标仿宋" w:cs="国标仿宋"/>
          <w:color w:val="auto"/>
          <w:sz w:val="32"/>
          <w:szCs w:val="40"/>
          <w:lang w:val="en-US" w:eastAsia="zh-CN"/>
        </w:rPr>
        <w:t>大冶市陈贵镇草坪村细程法（原知青点）</w:t>
      </w:r>
    </w:p>
    <w:p w14:paraId="29DBAC1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w:t>
      </w:r>
      <w:r>
        <w:rPr>
          <w:rFonts w:hint="eastAsia" w:ascii="国标仿宋" w:hAnsi="国标仿宋" w:eastAsia="国标仿宋" w:cs="国标仿宋"/>
          <w:color w:val="auto"/>
          <w:sz w:val="32"/>
          <w:szCs w:val="40"/>
          <w:lang w:val="en-US" w:eastAsia="zh-CN"/>
        </w:rPr>
        <w:t>郭云生</w:t>
      </w:r>
    </w:p>
    <w:p w14:paraId="56F3EDD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我局在监督检查中发现，当事人连续2</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年、202</w:t>
      </w: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年）未按规定报送年度报告被列入经营异常名录未改正</w:t>
      </w:r>
      <w:r>
        <w:rPr>
          <w:rFonts w:hint="eastAsia" w:ascii="仿宋_GB2312" w:hAnsi="仿宋_GB2312" w:eastAsia="仿宋_GB2312" w:cs="仿宋_GB2312"/>
          <w:color w:val="auto"/>
          <w:sz w:val="32"/>
          <w:szCs w:val="32"/>
          <w:lang w:val="en-US" w:eastAsia="zh-CN"/>
        </w:rPr>
        <w:t>。2026年4月17日我局执法人员对当事人登记的住所开展现场检查，未见当事人有生产经营活动，通过当事人预留电话号码也无法取得联系。为进一步核实情况，2026年4月17日，报我局负责人批准立案。执法人员围绕当事人涉嫌连续2年未按规定报送年度报告被列入经营异常名录未改正，且通过登记的住所无法取得联系的事实收集相关证据材料，确定其违法事实。2026年4月20日，本案调查终结。</w:t>
      </w:r>
    </w:p>
    <w:p w14:paraId="333D703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经查，当事人在2004年4月2日依法办理《营业执照》，该经营场所位于大冶市陈贵镇草坪村细程法（原知青点），从事浮选铁精矿。</w:t>
      </w:r>
    </w:p>
    <w:p w14:paraId="75A793C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2019年度至2024年度连续6个年度未通过国家企业信用信息公示系统(湖北)报送并公示年度报告。因未按规定报送年度报告，6个年度均被列入异常经营名录，截至案件调查终止，当事人仍处在异常名录的状态。</w:t>
      </w:r>
    </w:p>
    <w:p w14:paraId="6D97590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另查明，当事人在大冶市陈贵镇草坪村细程法（原知青点）的区域范围内未发现有生产经营活动。通过当事人登记的经营场所、登记留存电话均无法取得联系。当事人也未办理歇业备案、变更登记等手续。</w:t>
      </w:r>
    </w:p>
    <w:p w14:paraId="24ED432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还查明，当事人未进行税务登记。</w:t>
      </w:r>
    </w:p>
    <w:p w14:paraId="707F95A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上述事实，主要有以下证据证明：</w:t>
      </w:r>
    </w:p>
    <w:p w14:paraId="61A1325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笔录》1份，现场检查图片2张，登记系统查当事人基本信息1份，企业地址方位概略图、湖北省房屋租赁合同各1份，通话记录截图打印件1份，证明我局执法人员通过当事人登记住所（或经营场所）、预留电话无法与当事人取得联系。</w:t>
      </w:r>
    </w:p>
    <w:p w14:paraId="7F85988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2、企业变更备案信息打印件1份，企业歇业信息查询截图1份，证明当事人未办理歇业备案、变更登记等手续。</w:t>
      </w:r>
    </w:p>
    <w:p w14:paraId="6AFD531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3、国家企业信用信息公示系统(湖北)查询当事人列入经营异常名录截图1份，证明当事人未按规定申报、公示2019年度-2024年度报告，并被列入异常经营名录。</w:t>
      </w:r>
    </w:p>
    <w:p w14:paraId="43826A8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4、国家税务总局大冶市税务局提供的《2023和2024年度未年报企业税务登记及报税情况》1份，证明当事人未进行税务登记的事实。</w:t>
      </w:r>
    </w:p>
    <w:p w14:paraId="09B3E8F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根据以上查明的事实，本局于202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日下达《大冶市市场监督管理局行政处罚告知书》（大冶市监罚告〔202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lang w:eastAsia="zh-CN"/>
        </w:rPr>
        <w:t>号），告知当事人拟做出的行政处罚内容以及事实、理由、依据，并告知当事人享有的陈述、申辩和要求听证的权利。因当事人无法取得联系，依据《市场监督管理行政处罚程序规定》第八十二条第（五）项、《市场监督管理行政处罚听证办法》第五条第一款第（二）项的规定，本局依法在本单位门户网站公告《大冶市市场监督管理局行政处罚告知书送达公告》。公告发布已满三十日，视为送达。当事人在法定期间内未提出听证要求，也未提出陈述、申辩意见。</w:t>
      </w:r>
    </w:p>
    <w:p w14:paraId="423B0C8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局认为，当事人在2019年度-2024年度未通过国家企业信用信息公示系统(湖北)报送并公示年度报告，并被列入经营异常名录且未改正的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构成企业连续2年未按规定报送年度报告被列入经营异常名录未改正，且通过登记的住所无法取得联系的违法行为。</w:t>
      </w:r>
    </w:p>
    <w:p w14:paraId="6444745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lang w:eastAsia="zh-CN"/>
        </w:rPr>
        <w:t>，本局决定给予当事人吊销营业执照的行政处罚。</w:t>
      </w:r>
    </w:p>
    <w:p w14:paraId="68903AD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color w:val="auto"/>
          <w:szCs w:val="28"/>
        </w:rPr>
      </w:pPr>
      <w:r>
        <w:rPr>
          <w:rFonts w:hint="eastAsia" w:ascii="仿宋_GB2312" w:hAnsi="仿宋_GB2312" w:eastAsia="仿宋_GB2312" w:cs="仿宋_GB2312"/>
          <w:color w:val="auto"/>
          <w:sz w:val="32"/>
          <w:szCs w:val="32"/>
          <w:lang w:eastAsia="zh-CN"/>
        </w:rPr>
        <w:t>如当事人不服本行政处罚决定，可在接到本行政处罚决定书之日起六十日内向大冶市人民政府申请行政复议，也可以于六个月内依法向大冶市人民法院提起行政诉讼。申请行政复议或者提起行政诉讼期间，行政处罚不停止执行。</w:t>
      </w:r>
    </w:p>
    <w:p w14:paraId="0FA1C8DA">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p>
    <w:p w14:paraId="5B1F23D3">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大冶市市场监督管理局</w:t>
      </w:r>
    </w:p>
    <w:p w14:paraId="7A04C886">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日</w:t>
      </w:r>
    </w:p>
    <w:p w14:paraId="69B81AFA">
      <w:pPr>
        <w:keepNext w:val="0"/>
        <w:keepLines w:val="0"/>
        <w:pageBreakBefore w:val="0"/>
        <w:widowControl/>
        <w:suppressAutoHyphens/>
        <w:kinsoku/>
        <w:wordWrap/>
        <w:overflowPunct/>
        <w:topLinePunct w:val="0"/>
        <w:autoSpaceDE/>
        <w:autoSpaceDN/>
        <w:bidi w:val="0"/>
        <w:adjustRightInd/>
        <w:snapToGrid w:val="0"/>
        <w:spacing w:line="560" w:lineRule="exact"/>
        <w:ind w:firstLine="640"/>
        <w:textAlignment w:val="auto"/>
        <w:rPr>
          <w:rFonts w:hint="eastAsia" w:ascii="仿宋" w:hAnsi="仿宋" w:eastAsia="仿宋" w:cs="仿宋"/>
          <w:color w:val="auto"/>
          <w:szCs w:val="28"/>
        </w:rPr>
      </w:pPr>
    </w:p>
    <w:p w14:paraId="5CEC966A">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r>
        <w:rPr>
          <w:rFonts w:hint="eastAsia" w:ascii="黑体" w:hAnsi="黑体" w:eastAsia="黑体" w:cs="黑体"/>
          <w:color w:val="auto"/>
          <w:spacing w:val="-6"/>
          <w:sz w:val="32"/>
          <w:szCs w:val="32"/>
          <w:lang w:eastAsia="zh-CN"/>
        </w:rPr>
        <w:t>（市场监管部门将依法向社会公开本行政处罚决定信息）</w:t>
      </w:r>
      <w:r>
        <w:rPr>
          <w:rFonts w:hint="eastAsia" w:ascii="仿宋" w:hAnsi="仿宋" w:eastAsia="仿宋" w:cs="仿宋"/>
          <w:b/>
          <w:bCs/>
          <w:color w:val="auto"/>
          <w:szCs w:val="28"/>
        </w:rPr>
        <w:t xml:space="preserve"> </w:t>
      </w:r>
    </w:p>
    <w:p w14:paraId="419ED106">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4857474">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73CA4003">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949369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5ED410E">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7BF0F15">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053DDCAC">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29650A50">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39A0DF61">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43458267">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rPr>
      </w:pPr>
    </w:p>
    <w:p w14:paraId="6D005906">
      <w:pPr>
        <w:spacing w:line="500" w:lineRule="exact"/>
        <w:ind w:right="1424"/>
        <w:rPr>
          <w:rFonts w:hint="eastAsia" w:ascii="仿宋" w:hAnsi="仿宋" w:eastAsia="仿宋" w:cs="仿宋"/>
          <w:b/>
          <w:bCs/>
          <w:color w:val="auto"/>
          <w:szCs w:val="28"/>
        </w:rPr>
      </w:pPr>
    </w:p>
    <w:p w14:paraId="0523C505">
      <w:pPr>
        <w:spacing w:line="500" w:lineRule="exact"/>
        <w:ind w:right="1424"/>
        <w:rPr>
          <w:rFonts w:hint="eastAsia" w:ascii="仿宋" w:hAnsi="仿宋" w:eastAsia="仿宋" w:cs="仿宋"/>
          <w:b/>
          <w:bCs/>
          <w:color w:val="auto"/>
          <w:szCs w:val="28"/>
        </w:rPr>
      </w:pPr>
    </w:p>
    <w:p w14:paraId="30818A16">
      <w:pPr>
        <w:spacing w:line="500" w:lineRule="exact"/>
        <w:ind w:right="1424"/>
        <w:rPr>
          <w:rFonts w:hint="eastAsia" w:ascii="仿宋" w:hAnsi="仿宋" w:eastAsia="仿宋" w:cs="仿宋"/>
          <w:b/>
          <w:bCs/>
          <w:color w:val="auto"/>
          <w:szCs w:val="28"/>
        </w:rPr>
      </w:pPr>
    </w:p>
    <w:p w14:paraId="17D630CF">
      <w:pPr>
        <w:spacing w:line="500" w:lineRule="exact"/>
        <w:ind w:right="1424"/>
        <w:rPr>
          <w:rFonts w:hint="eastAsia" w:ascii="仿宋" w:hAnsi="仿宋" w:eastAsia="仿宋" w:cs="仿宋"/>
          <w:b/>
          <w:bCs/>
          <w:color w:val="auto"/>
          <w:szCs w:val="28"/>
        </w:rPr>
      </w:pPr>
    </w:p>
    <w:p w14:paraId="1ABB8018">
      <w:pPr>
        <w:spacing w:line="500" w:lineRule="exact"/>
        <w:ind w:right="1424"/>
        <w:rPr>
          <w:rFonts w:hint="eastAsia" w:ascii="仿宋" w:hAnsi="仿宋" w:eastAsia="仿宋" w:cs="仿宋"/>
          <w:b/>
          <w:bCs/>
          <w:color w:val="auto"/>
          <w:szCs w:val="28"/>
        </w:rPr>
      </w:pPr>
    </w:p>
    <w:p w14:paraId="76A6FE80">
      <w:pPr>
        <w:spacing w:line="500" w:lineRule="exact"/>
        <w:ind w:right="1424"/>
        <w:rPr>
          <w:rFonts w:hint="eastAsia" w:ascii="仿宋" w:hAnsi="仿宋" w:eastAsia="仿宋" w:cs="仿宋"/>
          <w:b/>
          <w:bCs/>
          <w:color w:val="auto"/>
          <w:szCs w:val="28"/>
        </w:rPr>
      </w:pPr>
      <w:r>
        <w:rPr>
          <w:color w:val="auto"/>
          <w:sz w:val="32"/>
        </w:rPr>
        <mc:AlternateContent>
          <mc:Choice Requires="wps">
            <w:drawing>
              <wp:anchor distT="0" distB="0" distL="114300" distR="114300" simplePos="0" relativeHeight="251667456" behindDoc="0" locked="0" layoutInCell="1" allowOverlap="1">
                <wp:simplePos x="0" y="0"/>
                <wp:positionH relativeFrom="column">
                  <wp:posOffset>-96520</wp:posOffset>
                </wp:positionH>
                <wp:positionV relativeFrom="paragraph">
                  <wp:posOffset>273685</wp:posOffset>
                </wp:positionV>
                <wp:extent cx="5863590" cy="20955"/>
                <wp:effectExtent l="85725" t="41275" r="89535" b="147320"/>
                <wp:wrapNone/>
                <wp:docPr id="17" name="直接连接符 17"/>
                <wp:cNvGraphicFramePr/>
                <a:graphic xmlns:a="http://schemas.openxmlformats.org/drawingml/2006/main">
                  <a:graphicData uri="http://schemas.microsoft.com/office/word/2010/wordprocessingShape">
                    <wps:wsp>
                      <wps:cNvCnPr/>
                      <wps:spPr>
                        <a:xfrm flipV="1">
                          <a:off x="949325" y="8918575"/>
                          <a:ext cx="5863590" cy="20955"/>
                        </a:xfrm>
                        <a:prstGeom prst="line">
                          <a:avLst/>
                        </a:prstGeom>
                        <a:noFill/>
                        <a:ln w="12700" cap="flat" cmpd="sng" algn="ctr">
                          <a:solidFill>
                            <a:srgbClr val="000000"/>
                          </a:solidFill>
                          <a:prstDash val="solid"/>
                          <a:miter lim="800000"/>
                        </a:ln>
                        <a:effectLst>
                          <a:outerShdw blurRad="101600" dist="50800" dir="5400000" algn="ctr" rotWithShape="0">
                            <a:srgbClr val="4874CB">
                              <a:alpha val="60000"/>
                            </a:srgbClr>
                          </a:outerShdw>
                        </a:effectLst>
                      </wps:spPr>
                      <wps:bodyPr/>
                    </wps:wsp>
                  </a:graphicData>
                </a:graphic>
              </wp:anchor>
            </w:drawing>
          </mc:Choice>
          <mc:Fallback>
            <w:pict>
              <v:line id="_x0000_s1026" o:spid="_x0000_s1026" o:spt="20" style="position:absolute;left:0pt;flip:y;margin-left:-7.6pt;margin-top:21.55pt;height:1.65pt;width:461.7pt;z-index:251667456;mso-width-relative:page;mso-height-relative:page;" filled="f" stroked="t" coordsize="21600,21600" o:gfxdata="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DL0r9cAAAAJAQAADwAAAAAA&#10;AAABACAAAAAiAAAAZHJzL2Rvd25yZXYueG1sUEsBAhQAFAAAAAgAh07iQATYvytNAgAAhQQAAA4A&#10;AAAAAAAAAQAgAAAAJgEAAGRycy9lMm9Eb2MueG1sUEsFBgAAAAAGAAYAWQEAAOUFAAAAAA==&#10;">
                <v:path arrowok="t"/>
                <v:fill on="f" focussize="0,0"/>
                <v:stroke weight="1pt" joinstyle="miter"/>
                <v:imagedata o:title=""/>
                <o:lock v:ext="edit" aspectratio="f"/>
                <v:shadow on="t" color="#FFFFFF" opacity="39321f" offset="0pt,4pt"/>
              </v:line>
            </w:pict>
          </mc:Fallback>
        </mc:AlternateContent>
      </w:r>
    </w:p>
    <w:p w14:paraId="1728401D">
      <w:pPr>
        <w:keepNext w:val="0"/>
        <w:keepLines w:val="0"/>
        <w:pageBreakBefore w:val="0"/>
        <w:widowControl/>
        <w:suppressAutoHyphens/>
        <w:kinsoku/>
        <w:wordWrap/>
        <w:overflowPunct/>
        <w:topLinePunct w:val="0"/>
        <w:autoSpaceDE/>
        <w:autoSpaceDN/>
        <w:bidi w:val="0"/>
        <w:adjustRightInd/>
        <w:snapToGrid w:val="0"/>
        <w:spacing w:line="560" w:lineRule="exact"/>
        <w:textAlignment w:val="auto"/>
        <w:rPr>
          <w:rFonts w:hint="eastAsia" w:ascii="仿宋" w:hAnsi="仿宋" w:eastAsia="仿宋" w:cs="仿宋"/>
          <w:b/>
          <w:bCs/>
          <w:color w:val="auto"/>
          <w:szCs w:val="28"/>
          <w:lang w:val="en-US" w:eastAsia="zh-CN"/>
        </w:rPr>
        <w:sectPr>
          <w:headerReference r:id="rId28" w:type="first"/>
          <w:footerReference r:id="rId29" w:type="first"/>
          <w:headerReference r:id="rId27" w:type="default"/>
          <w:pgSz w:w="11906" w:h="16838"/>
          <w:pgMar w:top="1440" w:right="1800" w:bottom="1440" w:left="1800" w:header="851" w:footer="850" w:gutter="0"/>
          <w:pgNumType w:fmt="decimal"/>
          <w:cols w:space="720" w:num="1"/>
          <w:titlePg/>
          <w:docGrid w:type="lines" w:linePitch="381" w:charSpace="0"/>
        </w:sectPr>
      </w:pPr>
      <w:r>
        <w:rPr>
          <w:rFonts w:hint="eastAsia" w:ascii="仿宋" w:hAnsi="仿宋" w:eastAsia="仿宋" w:cs="仿宋"/>
          <w:color w:val="auto"/>
          <w:sz w:val="32"/>
          <w:szCs w:val="32"/>
        </w:rPr>
        <w:t>本文书一式</w:t>
      </w:r>
      <w:r>
        <w:rPr>
          <w:rFonts w:hint="eastAsia" w:ascii="仿宋" w:hAnsi="仿宋" w:eastAsia="仿宋" w:cs="仿宋"/>
          <w:color w:val="auto"/>
          <w:sz w:val="32"/>
          <w:szCs w:val="32"/>
          <w:u w:val="single"/>
        </w:rPr>
        <w:t xml:space="preserve">  二  </w:t>
      </w:r>
      <w:r>
        <w:rPr>
          <w:rFonts w:hint="eastAsia" w:ascii="仿宋" w:hAnsi="仿宋" w:eastAsia="仿宋" w:cs="仿宋"/>
          <w:color w:val="auto"/>
          <w:sz w:val="32"/>
          <w:szCs w:val="32"/>
        </w:rPr>
        <w:t>份，</w:t>
      </w:r>
      <w:r>
        <w:rPr>
          <w:rFonts w:hint="eastAsia" w:ascii="仿宋" w:hAnsi="仿宋" w:eastAsia="仿宋" w:cs="仿宋"/>
          <w:color w:val="auto"/>
          <w:sz w:val="32"/>
          <w:szCs w:val="32"/>
          <w:u w:val="single"/>
        </w:rPr>
        <w:t xml:space="preserve"> 一 </w:t>
      </w:r>
      <w:r>
        <w:rPr>
          <w:rFonts w:hint="eastAsia" w:ascii="仿宋" w:hAnsi="仿宋" w:eastAsia="仿宋" w:cs="仿宋"/>
          <w:color w:val="auto"/>
          <w:sz w:val="32"/>
          <w:szCs w:val="32"/>
        </w:rPr>
        <w:t>份送达，一份归档。</w:t>
      </w:r>
    </w:p>
    <w:p w14:paraId="07462841"/>
    <w:p w14:paraId="169AEDDB"/>
    <w:p w14:paraId="5E14692F">
      <w:pPr>
        <w:spacing w:line="500" w:lineRule="exact"/>
        <w:ind w:right="1424"/>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KSOFE67E5C00">
    <w:panose1 w:val="02010609060101010101"/>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9626">
    <w:pPr>
      <w:wordWrap w:val="0"/>
      <w:spacing w:line="520" w:lineRule="exact"/>
      <w:rPr>
        <w:rFonts w:hint="eastAsia" w:ascii="仿宋" w:hAnsi="仿宋" w:eastAsia="仿宋" w:cs="仿宋"/>
        <w:color w:val="000000"/>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741E">
    <w:pPr>
      <w:wordWrap w:val="0"/>
      <w:spacing w:line="520" w:lineRule="exact"/>
      <w:rPr>
        <w:rFonts w:hint="eastAsia" w:ascii="仿宋" w:hAnsi="仿宋" w:eastAsia="仿宋" w:cs="仿宋"/>
        <w:color w:val="000000"/>
        <w:sz w:val="32"/>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F6CD">
    <w:pPr>
      <w:wordWrap w:val="0"/>
      <w:spacing w:line="520" w:lineRule="exact"/>
      <w:rPr>
        <w:rFonts w:hint="eastAsia" w:ascii="仿宋" w:hAnsi="仿宋" w:eastAsia="仿宋" w:cs="仿宋"/>
        <w:color w:val="000000"/>
        <w:sz w:val="32"/>
        <w:szCs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49E2">
    <w:pPr>
      <w:wordWrap w:val="0"/>
      <w:spacing w:line="520" w:lineRule="exact"/>
      <w:rPr>
        <w:rFonts w:hint="eastAsia" w:ascii="仿宋" w:hAnsi="仿宋" w:eastAsia="仿宋" w:cs="仿宋"/>
        <w:color w:val="000000"/>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9C5C">
    <w:pPr>
      <w:wordWrap w:val="0"/>
      <w:spacing w:line="520" w:lineRule="exact"/>
      <w:rPr>
        <w:rFonts w:hint="eastAsia" w:ascii="仿宋" w:hAnsi="仿宋" w:eastAsia="仿宋" w:cs="仿宋"/>
        <w:color w:val="000000"/>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C82C">
    <w:pPr>
      <w:wordWrap w:val="0"/>
      <w:spacing w:line="520" w:lineRule="exact"/>
      <w:rPr>
        <w:rFonts w:hint="eastAsia" w:ascii="仿宋" w:hAnsi="仿宋" w:eastAsia="仿宋" w:cs="仿宋"/>
        <w:color w:val="000000"/>
        <w:sz w:val="32"/>
        <w:szCs w:val="3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6656">
    <w:pPr>
      <w:wordWrap w:val="0"/>
      <w:spacing w:line="520" w:lineRule="exact"/>
      <w:rPr>
        <w:rFonts w:hint="eastAsia" w:ascii="仿宋" w:hAnsi="仿宋" w:eastAsia="仿宋" w:cs="仿宋"/>
        <w:color w:val="000000"/>
        <w:sz w:val="32"/>
        <w:szCs w:val="3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AC72">
    <w:pPr>
      <w:wordWrap w:val="0"/>
      <w:spacing w:line="520" w:lineRule="exact"/>
      <w:rPr>
        <w:rFonts w:hint="eastAsia" w:ascii="仿宋" w:hAnsi="仿宋" w:eastAsia="仿宋" w:cs="仿宋"/>
        <w:color w:val="000000"/>
        <w:sz w:val="32"/>
        <w:szCs w:val="3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CB661">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B643">
    <w:pPr>
      <w:pStyle w:val="3"/>
      <w:pBdr>
        <w:bottom w:val="none" w:color="auto" w:sz="0" w:space="0"/>
      </w:pBdr>
      <w:ind w:firstLine="360"/>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26F4">
    <w:pPr>
      <w:pStyle w:val="3"/>
      <w:pBdr>
        <w:bottom w:val="none" w:color="auto" w:sz="0" w:space="0"/>
      </w:pBdr>
      <w:jc w:val="both"/>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3DA4">
    <w:pPr>
      <w:pStyle w:val="3"/>
      <w:pBdr>
        <w:bottom w:val="none" w:color="auto" w:sz="0" w:space="0"/>
      </w:pBdr>
      <w:ind w:firstLine="360"/>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A61C">
    <w:pPr>
      <w:pStyle w:val="3"/>
      <w:pBdr>
        <w:bottom w:val="none" w:color="auto" w:sz="0" w:space="0"/>
      </w:pBdr>
      <w:jc w:val="both"/>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1229">
    <w:pPr>
      <w:pStyle w:val="3"/>
      <w:pBdr>
        <w:bottom w:val="none" w:color="auto" w:sz="0" w:space="0"/>
      </w:pBdr>
      <w:ind w:firstLine="360"/>
      <w:jc w:val="both"/>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79EC">
    <w:pPr>
      <w:pStyle w:val="3"/>
      <w:pBdr>
        <w:bottom w:val="none" w:color="auto" w:sz="0" w:space="0"/>
      </w:pBdr>
      <w:jc w:val="both"/>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C995">
    <w:pPr>
      <w:pStyle w:val="3"/>
      <w:pBdr>
        <w:bottom w:val="none" w:color="auto" w:sz="0" w:space="0"/>
      </w:pBdr>
      <w:ind w:firstLine="360"/>
      <w:jc w:val="both"/>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D74D">
    <w:pPr>
      <w:pStyle w:val="3"/>
      <w:pBdr>
        <w:bottom w:val="none" w:color="auto" w:sz="0" w:space="0"/>
      </w:pBdr>
      <w:jc w:val="both"/>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CE72">
    <w:pPr>
      <w:pStyle w:val="3"/>
      <w:pBdr>
        <w:bottom w:val="none" w:color="auto" w:sz="0" w:space="0"/>
      </w:pBdr>
      <w:ind w:firstLine="360"/>
      <w:jc w:val="both"/>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0F9D">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F07B">
    <w:pPr>
      <w:pStyle w:val="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7889">
    <w:pPr>
      <w:pStyle w:val="3"/>
      <w:pBdr>
        <w:bottom w:val="none" w:color="auto" w:sz="0" w:space="0"/>
      </w:pBdr>
      <w:ind w:firstLine="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387A">
    <w:pPr>
      <w:pStyle w:val="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9DB5">
    <w:pPr>
      <w:pStyle w:val="3"/>
      <w:pBdr>
        <w:bottom w:val="none" w:color="auto" w:sz="0" w:space="0"/>
      </w:pBdr>
      <w:ind w:firstLine="36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6621">
    <w:pPr>
      <w:pStyle w:val="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4092">
    <w:pPr>
      <w:pStyle w:val="3"/>
      <w:pBdr>
        <w:bottom w:val="none" w:color="auto" w:sz="0" w:space="0"/>
      </w:pBdr>
      <w:ind w:firstLine="360"/>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6638">
    <w:pPr>
      <w:pStyle w:val="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942A">
    <w:pPr>
      <w:pStyle w:val="3"/>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3623"/>
    <w:rsid w:val="1B025C23"/>
    <w:rsid w:val="1F8C176F"/>
    <w:rsid w:val="2607279B"/>
    <w:rsid w:val="301F34FF"/>
    <w:rsid w:val="3EAB0813"/>
    <w:rsid w:val="46104067"/>
    <w:rsid w:val="558772CD"/>
    <w:rsid w:val="58BE35C3"/>
    <w:rsid w:val="7AC5736D"/>
    <w:rsid w:val="7EFA0D90"/>
    <w:rsid w:val="DD77912E"/>
    <w:rsid w:val="DFBF0FAD"/>
    <w:rsid w:val="F3FF302A"/>
    <w:rsid w:val="FEBF1E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9.xml"/><Relationship Id="rId28" Type="http://schemas.openxmlformats.org/officeDocument/2006/relationships/header" Target="header18.xml"/><Relationship Id="rId27" Type="http://schemas.openxmlformats.org/officeDocument/2006/relationships/header" Target="header17.xml"/><Relationship Id="rId26" Type="http://schemas.openxmlformats.org/officeDocument/2006/relationships/footer" Target="footer8.xml"/><Relationship Id="rId25" Type="http://schemas.openxmlformats.org/officeDocument/2006/relationships/header" Target="header16.xml"/><Relationship Id="rId24" Type="http://schemas.openxmlformats.org/officeDocument/2006/relationships/header" Target="header15.xml"/><Relationship Id="rId23" Type="http://schemas.openxmlformats.org/officeDocument/2006/relationships/footer" Target="footer7.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12589</Words>
  <Characters>13145</Characters>
  <Lines>0</Lines>
  <Paragraphs>0</Paragraphs>
  <TotalTime>1</TotalTime>
  <ScaleCrop>false</ScaleCrop>
  <LinksUpToDate>false</LinksUpToDate>
  <CharactersWithSpaces>13449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诗眼倦天涯</cp:lastModifiedBy>
  <dcterms:modified xsi:type="dcterms:W3CDTF">2026-05-29T09:12:44Z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eyJoZGlkIjoiNzM1ODViNjFkMzIzMTQyZjE2NDM3OTE3NGY4OTIzZjciLCJ1c2VySWQiOiI0MDAxNDY0NyJ9</vt:lpwstr>
  </property>
  <property fmtid="{D5CDD505-2E9C-101B-9397-08002B2CF9AE}" pid="4" name="ICV">
    <vt:lpwstr>F1B9C7E5919D4D948A84B6350C3BA943_13</vt:lpwstr>
  </property>
</Properties>
</file>